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ustom.xml" ContentType="application/vnd.openxmlformats-officedocument.custom-properties+xml"/>
  <Override PartName="/docProps/core.xml" ContentType="application/vnd.openxmlformats-package.core-properties+xml"/>
  <Override PartName="/word/header2.xml" ContentType="application/vnd.openxmlformats-officedocument.wordprocessingml.header+xml"/>
  <Override PartName="/word/footer1.xml" ContentType="application/vnd.openxmlformats-officedocument.wordprocessingml.footer+xml"/>
  <Override PartName="/word/header1.xml" ContentType="application/vnd.openxmlformats-officedocument.wordprocessingml.header+xml"/>
  <Override PartName="/word/theme/theme1.xml" ContentType="application/vnd.openxmlformats-officedocument.theme+xml"/>
  <Override PartName="/word/footer2.xml" ContentType="application/vnd.openxmlformats-officedocument.wordprocessingml.footer+xml"/>
  <Override PartName="/word/fontTable.xml" ContentType="application/vnd.openxmlformats-officedocument.wordprocessingml.fontTable+xml"/>
  <Override PartName="/word/endnotes.xml" ContentType="application/vnd.openxmlformats-officedocument.wordprocessingml.endnotes+xml"/>
  <Override PartName="/word/webSettings.xml" ContentType="application/vnd.openxmlformats-officedocument.wordprocessingml.webSettings+xml"/>
  <Override PartName="/word/numbering.xml" ContentType="application/vnd.openxmlformats-officedocument.wordprocessingml.numbering+xml"/>
  <Override PartName="/docProps/app.xml" ContentType="application/vnd.openxmlformats-officedocument.extended-properties+xml"/>
  <Override PartName="/word/settings.xml" ContentType="application/vnd.openxmlformats-officedocument.wordprocessingml.settings+xml"/>
  <Override PartName="/word/footnotes.xml" ContentType="application/vnd.openxmlformats-officedocument.wordprocessingml.footnotes+xml"/>
  <Override PartName="/word/styles.xml" ContentType="application/vnd.openxmlformats-officedocument.wordprocessingml.styles+xml"/>
  <Override PartName="/word/document.xml" ContentType="application/vnd.openxmlformats-officedocument.wordprocessingml.document.main+xml"/>
  <Override PartName="/customXml/itemProps1.xml" ContentType="application/vnd.openxmlformats-officedocument.customXmlProperti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p>
      <w:pPr>
        <w:pStyle w:val="1321"/>
        <w:jc w:val="both"/>
        <w:widowControl w:val="off"/>
        <w:rPr>
          <w:rFonts w:cs="Times New Roman"/>
          <w:sz w:val="22"/>
          <w:szCs w:val="22"/>
        </w:rPr>
        <w:suppressLineNumbers/>
      </w:pPr>
      <w:r/>
      <w:bookmarkStart w:id="0" w:name="_Hlk45897866"/>
      <w:r>
        <w:rPr>
          <w:sz w:val="22"/>
          <w:szCs w:val="22"/>
        </w:rPr>
        <w:t xml:space="preserve">               </w:t>
      </w:r>
      <w:r>
        <w:rPr>
          <w:rFonts w:cs="Times New Roman"/>
          <w:sz w:val="22"/>
          <w:szCs w:val="22"/>
        </w:rPr>
        <w:t xml:space="preserve">                     </w:t>
      </w:r>
      <w:r>
        <w:rPr>
          <w:rFonts w:cs="Times New Roman"/>
          <w:sz w:val="22"/>
          <w:szCs w:val="22"/>
        </w:rPr>
      </w:r>
    </w:p>
    <w:p>
      <w:pPr>
        <w:pStyle w:val="1321"/>
        <w:jc w:val="both"/>
        <w:spacing w:line="17" w:lineRule="atLeast"/>
        <w:widowControl w:val="off"/>
        <w:rPr>
          <w:rFonts w:ascii="Tinos" w:hAnsi="Tinos" w:cs="Tinos"/>
          <w:sz w:val="22"/>
          <w:szCs w:val="22"/>
        </w:rPr>
        <w:suppressLineNumbers/>
      </w:pPr>
      <w:r>
        <w:rPr>
          <w:rFonts w:ascii="Tinos" w:hAnsi="Tinos" w:eastAsia="Tinos" w:cs="Tinos"/>
          <w:sz w:val="22"/>
          <w:szCs w:val="22"/>
        </w:rPr>
        <w:t xml:space="preserve">                                               </w:t>
      </w:r>
      <w:r>
        <w:rPr>
          <w:rFonts w:ascii="Tinos" w:hAnsi="Tinos" w:cs="Tinos"/>
          <w:sz w:val="22"/>
          <w:szCs w:val="22"/>
        </w:rPr>
      </w:r>
    </w:p>
    <w:p>
      <w:pPr>
        <w:pStyle w:val="1321"/>
        <w:jc w:val="both"/>
        <w:spacing w:line="17" w:lineRule="atLeast"/>
        <w:widowControl w:val="off"/>
        <w:rPr>
          <w:rFonts w:ascii="Tinos" w:hAnsi="Tinos" w:cs="Tinos"/>
          <w:sz w:val="22"/>
          <w:szCs w:val="22"/>
        </w:rPr>
        <w:suppressLineNumbers/>
      </w:pPr>
      <w:r>
        <w:rPr>
          <w:rFonts w:ascii="Tinos" w:hAnsi="Tinos" w:eastAsia="Tinos" w:cs="Tinos"/>
          <w:sz w:val="22"/>
          <w:szCs w:val="22"/>
        </w:rPr>
        <w:t xml:space="preserve">                                            ПРОЕКТ ДОГОВОРА ПОСТАВКИ №__________</w:t>
      </w:r>
      <w:r>
        <w:rPr>
          <w:rFonts w:ascii="Tinos" w:hAnsi="Tinos" w:cs="Tinos"/>
          <w:sz w:val="22"/>
          <w:szCs w:val="22"/>
        </w:rPr>
      </w:r>
    </w:p>
    <w:p>
      <w:pPr>
        <w:ind w:right="40"/>
        <w:jc w:val="both"/>
        <w:spacing w:after="0" w:line="17" w:lineRule="atLeast"/>
        <w:widowControl w:val="off"/>
        <w:rPr>
          <w:rFonts w:ascii="Tinos" w:hAnsi="Tinos" w:cs="Tinos"/>
        </w:rPr>
        <w:suppressLineNumbers/>
      </w:pPr>
      <w:r>
        <w:rPr>
          <w:rFonts w:ascii="Tinos" w:hAnsi="Tinos" w:cs="Tinos"/>
        </w:rPr>
      </w:r>
      <w:r>
        <w:rPr>
          <w:rFonts w:ascii="Tinos" w:hAnsi="Tinos" w:cs="Tinos"/>
        </w:rPr>
      </w:r>
    </w:p>
    <w:p>
      <w:pPr>
        <w:ind w:right="40"/>
        <w:jc w:val="both"/>
        <w:spacing w:after="0" w:line="17" w:lineRule="atLeast"/>
        <w:widowControl w:val="off"/>
        <w:tabs>
          <w:tab w:val="left" w:pos="567" w:leader="none"/>
        </w:tabs>
        <w:rPr>
          <w:rFonts w:ascii="Tinos" w:hAnsi="Tinos" w:cs="Tinos"/>
        </w:rPr>
        <w:suppressLineNumbers/>
      </w:pPr>
      <w:r>
        <w:rPr>
          <w:rFonts w:ascii="Tinos" w:hAnsi="Tinos" w:eastAsia="Tinos" w:cs="Tinos"/>
        </w:rPr>
        <w:t xml:space="preserve">г. Кызыл                      </w:t>
      </w:r>
      <w:r>
        <w:rPr>
          <w:rFonts w:ascii="Tinos" w:hAnsi="Tinos" w:eastAsia="Tinos" w:cs="Tinos"/>
        </w:rPr>
        <w:tab/>
      </w:r>
      <w:r>
        <w:rPr>
          <w:rFonts w:ascii="Tinos" w:hAnsi="Tinos" w:eastAsia="Tinos" w:cs="Tinos"/>
        </w:rPr>
        <w:tab/>
      </w:r>
      <w:r>
        <w:rPr>
          <w:rFonts w:ascii="Tinos" w:hAnsi="Tinos" w:eastAsia="Tinos" w:cs="Tinos"/>
        </w:rPr>
        <w:tab/>
      </w:r>
      <w:r>
        <w:rPr>
          <w:rFonts w:ascii="Tinos" w:hAnsi="Tinos" w:eastAsia="Tinos" w:cs="Tinos"/>
        </w:rPr>
        <w:tab/>
      </w:r>
      <w:r>
        <w:rPr>
          <w:rFonts w:ascii="Tinos" w:hAnsi="Tinos" w:eastAsia="Tinos" w:cs="Tinos"/>
        </w:rPr>
        <w:tab/>
      </w:r>
      <w:r>
        <w:rPr>
          <w:rFonts w:ascii="Tinos" w:hAnsi="Tinos" w:eastAsia="Tinos" w:cs="Tinos"/>
        </w:rPr>
        <w:tab/>
        <w:t xml:space="preserve">                             «</w:t>
      </w:r>
      <w:r>
        <w:rPr>
          <w:rFonts w:ascii="Tinos" w:hAnsi="Tinos" w:eastAsia="Tinos" w:cs="Tinos"/>
        </w:rPr>
        <w:t xml:space="preserve">___»___________ 20__ г.</w:t>
      </w:r>
      <w:r>
        <w:rPr>
          <w:rFonts w:ascii="Tinos" w:hAnsi="Tinos" w:cs="Tinos"/>
        </w:rPr>
      </w:r>
    </w:p>
    <w:p>
      <w:pPr>
        <w:ind w:right="40"/>
        <w:jc w:val="both"/>
        <w:spacing w:after="0" w:line="17" w:lineRule="atLeast"/>
        <w:widowControl w:val="off"/>
        <w:tabs>
          <w:tab w:val="left" w:pos="567" w:leader="none"/>
        </w:tabs>
        <w:rPr>
          <w:rFonts w:ascii="Tinos" w:hAnsi="Tinos" w:cs="Tinos"/>
        </w:rPr>
        <w:suppressLineNumbers/>
      </w:pPr>
      <w:r>
        <w:rPr>
          <w:rFonts w:ascii="Tinos" w:hAnsi="Tinos" w:cs="Tinos"/>
        </w:rPr>
      </w:r>
      <w:r>
        <w:rPr>
          <w:rFonts w:ascii="Tinos" w:hAnsi="Tinos" w:cs="Tinos"/>
        </w:rPr>
      </w:r>
    </w:p>
    <w:p>
      <w:pPr>
        <w:jc w:val="both"/>
        <w:spacing w:after="0" w:line="17" w:lineRule="atLeast"/>
        <w:rPr>
          <w:rFonts w:ascii="Tinos" w:hAnsi="Tinos" w:cs="Tinos"/>
        </w:rPr>
      </w:pPr>
      <w:r>
        <w:rPr>
          <w:rFonts w:ascii="Tinos" w:hAnsi="Tinos" w:eastAsia="Tinos" w:cs="Tinos"/>
        </w:rPr>
        <w:t xml:space="preserve">АО «Россети Сибирь Тываэнерго», именуемое в дальнейшем </w:t>
      </w:r>
      <w:r>
        <w:rPr>
          <w:rFonts w:ascii="Tinos" w:hAnsi="Tinos" w:eastAsia="Tinos" w:cs="Tinos"/>
          <w:b/>
          <w:bCs/>
        </w:rPr>
        <w:t xml:space="preserve">«Покупатель», </w:t>
      </w:r>
      <w:r>
        <w:rPr>
          <w:rFonts w:ascii="Tinos" w:hAnsi="Tinos" w:eastAsia="Tinos" w:cs="Tinos"/>
        </w:rPr>
        <w:t xml:space="preserve">в лице управляющего директора – первого заместителя генерального директора Лукина Антона Владимировича, действующего на основании Доверенности </w:t>
      </w:r>
      <w:r>
        <w:rPr>
          <w:rFonts w:ascii="Tinos" w:hAnsi="Tinos" w:eastAsia="Tinos" w:cs="Tinos"/>
          <w:bCs/>
        </w:rPr>
        <w:t xml:space="preserve">№ 00/152 от 22.04.2</w:t>
      </w:r>
      <w:r>
        <w:rPr>
          <w:rFonts w:ascii="Tinos" w:hAnsi="Tinos" w:eastAsia="Tinos" w:cs="Tinos"/>
          <w:bCs/>
        </w:rPr>
        <w:t xml:space="preserve">025 г.</w:t>
      </w:r>
      <w:r>
        <w:rPr>
          <w:rFonts w:ascii="Tinos" w:hAnsi="Tinos" w:eastAsia="Tinos" w:cs="Tinos"/>
        </w:rPr>
        <w:t xml:space="preserve"> с одной стороны; и ________, именуемое в дальнейшем </w:t>
      </w:r>
      <w:r>
        <w:rPr>
          <w:rFonts w:ascii="Tinos" w:hAnsi="Tinos" w:eastAsia="Tinos" w:cs="Tinos"/>
          <w:b/>
          <w:bCs/>
        </w:rPr>
        <w:t xml:space="preserve">«Поставщик»</w:t>
      </w:r>
      <w:r>
        <w:rPr>
          <w:rFonts w:ascii="Tinos" w:hAnsi="Tinos" w:eastAsia="Tinos" w:cs="Tinos"/>
        </w:rPr>
        <w:t xml:space="preserve">, в лице _______, действующего на основании ________ с другой стороны, а вместе именуемые Стороны, на основании решения конкурсной комиссии (Протокол № ______ от ______г.), заключили нас</w:t>
      </w:r>
      <w:r>
        <w:rPr>
          <w:rFonts w:ascii="Tinos" w:hAnsi="Tinos" w:eastAsia="Tinos" w:cs="Tinos"/>
        </w:rPr>
        <w:t xml:space="preserve">тоящий Договор о нижеследующем:</w:t>
      </w:r>
      <w:r>
        <w:rPr>
          <w:rFonts w:ascii="Tinos" w:hAnsi="Tinos" w:cs="Tinos"/>
        </w:rPr>
      </w:r>
    </w:p>
    <w:p>
      <w:pPr>
        <w:pStyle w:val="1315"/>
        <w:numPr>
          <w:ilvl w:val="0"/>
          <w:numId w:val="52"/>
        </w:numPr>
        <w:ind w:left="0" w:right="2267" w:firstLine="0"/>
        <w:jc w:val="center"/>
        <w:spacing w:line="17" w:lineRule="atLeast"/>
        <w:rPr>
          <w:rFonts w:ascii="Tinos" w:hAnsi="Tinos" w:cs="Tinos"/>
          <w:b/>
          <w:bCs/>
          <w:sz w:val="22"/>
          <w:szCs w:val="22"/>
        </w:rPr>
      </w:pPr>
      <w:r>
        <w:rPr>
          <w:rFonts w:ascii="Tinos" w:hAnsi="Tinos" w:eastAsia="Tinos" w:cs="Tinos"/>
          <w:b/>
          <w:bCs/>
          <w:sz w:val="22"/>
          <w:szCs w:val="22"/>
        </w:rPr>
        <w:t xml:space="preserve">Основные понятия и определения:</w:t>
      </w:r>
      <w:r>
        <w:rPr>
          <w:rFonts w:ascii="Tinos" w:hAnsi="Tinos" w:cs="Tinos"/>
          <w:b/>
          <w:bCs/>
          <w:sz w:val="22"/>
          <w:szCs w:val="22"/>
        </w:rPr>
      </w:r>
    </w:p>
    <w:p>
      <w:pPr>
        <w:pStyle w:val="1315"/>
        <w:numPr>
          <w:ilvl w:val="1"/>
          <w:numId w:val="52"/>
        </w:numPr>
        <w:ind w:left="0" w:firstLine="0"/>
        <w:jc w:val="both"/>
        <w:spacing w:line="17" w:lineRule="atLeast"/>
        <w:shd w:val="clear" w:color="auto" w:fill="ffffff"/>
        <w:tabs>
          <w:tab w:val="left" w:pos="567" w:leader="none"/>
        </w:tabs>
        <w:rPr>
          <w:rFonts w:ascii="Tinos" w:hAnsi="Tinos" w:cs="Tinos"/>
          <w:sz w:val="22"/>
          <w:szCs w:val="22"/>
        </w:rPr>
      </w:pPr>
      <w:r>
        <w:rPr>
          <w:rFonts w:ascii="Tinos" w:hAnsi="Tinos" w:eastAsia="Tinos" w:cs="Tinos"/>
          <w:sz w:val="22"/>
          <w:szCs w:val="22"/>
        </w:rPr>
        <w:t xml:space="preserve">Во избежание неоднозначного толкования положений настоящего Договора Покупателем и Поставщиком были согласованы следующие определения различных терминов:</w:t>
      </w:r>
      <w:r>
        <w:rPr>
          <w:rFonts w:ascii="Tinos" w:hAnsi="Tinos" w:cs="Tinos"/>
          <w:sz w:val="22"/>
          <w:szCs w:val="22"/>
        </w:rPr>
      </w:r>
    </w:p>
    <w:p>
      <w:pPr>
        <w:jc w:val="both"/>
        <w:spacing w:after="0" w:line="17" w:lineRule="atLeast"/>
        <w:shd w:val="clear" w:color="auto" w:fill="ffffff"/>
        <w:widowControl w:val="off"/>
        <w:tabs>
          <w:tab w:val="left" w:pos="1276" w:leader="none"/>
        </w:tabs>
        <w:rPr>
          <w:rFonts w:ascii="Tinos" w:hAnsi="Tinos" w:cs="Tinos"/>
          <w:bCs/>
        </w:rPr>
      </w:pPr>
      <w:r>
        <w:rPr>
          <w:rFonts w:ascii="Tinos" w:hAnsi="Tinos" w:eastAsia="Tinos" w:cs="Tinos"/>
          <w:b/>
          <w:bCs/>
        </w:rPr>
        <w:t xml:space="preserve">Гарантийный срок</w:t>
      </w:r>
      <w:r>
        <w:rPr>
          <w:rFonts w:ascii="Tinos" w:hAnsi="Tinos" w:eastAsia="Tinos" w:cs="Tinos"/>
          <w:bCs/>
        </w:rPr>
        <w:t xml:space="preserve"> - срок, в течение кот</w:t>
      </w:r>
      <w:r>
        <w:rPr>
          <w:rFonts w:ascii="Tinos" w:hAnsi="Tinos" w:eastAsia="Tinos" w:cs="Tinos"/>
          <w:bCs/>
        </w:rPr>
        <w:t xml:space="preserve">орого Поставщик обязуется обеспечить соответствие качества товара условиям Договора и несет ответственность перед Покупателем за выявленные недостатки товара (п. 2 ст. 470, п. 3 ст. 477 ГК РФ).</w:t>
      </w:r>
      <w:r>
        <w:rPr>
          <w:rFonts w:ascii="Tinos" w:hAnsi="Tinos" w:cs="Tinos"/>
          <w:bCs/>
        </w:rPr>
      </w:r>
    </w:p>
    <w:p>
      <w:pPr>
        <w:jc w:val="both"/>
        <w:spacing w:after="0" w:line="17" w:lineRule="atLeast"/>
        <w:shd w:val="clear" w:color="auto" w:fill="ffffff"/>
        <w:widowControl w:val="off"/>
        <w:tabs>
          <w:tab w:val="left" w:pos="1276" w:leader="none"/>
        </w:tabs>
        <w:rPr>
          <w:rFonts w:ascii="Tinos" w:hAnsi="Tinos" w:cs="Tinos"/>
          <w:bCs/>
        </w:rPr>
      </w:pPr>
      <w:r>
        <w:rPr>
          <w:rFonts w:ascii="Tinos" w:hAnsi="Tinos" w:eastAsia="Tinos" w:cs="Tinos"/>
          <w:b/>
          <w:bCs/>
        </w:rPr>
        <w:t xml:space="preserve">ГК РФ</w:t>
      </w:r>
      <w:r>
        <w:rPr>
          <w:rFonts w:ascii="Tinos" w:hAnsi="Tinos" w:eastAsia="Tinos" w:cs="Tinos"/>
          <w:bCs/>
        </w:rPr>
        <w:t xml:space="preserve"> - Гражданский кодекс Российской Федерации.</w:t>
      </w:r>
      <w:r>
        <w:rPr>
          <w:rFonts w:ascii="Tinos" w:hAnsi="Tinos" w:cs="Tinos"/>
          <w:bCs/>
        </w:rPr>
      </w:r>
    </w:p>
    <w:p>
      <w:pPr>
        <w:jc w:val="both"/>
        <w:spacing w:after="0" w:line="17" w:lineRule="atLeast"/>
        <w:shd w:val="clear" w:color="auto" w:fill="ffffff"/>
        <w:widowControl w:val="off"/>
        <w:tabs>
          <w:tab w:val="left" w:pos="1276" w:leader="none"/>
        </w:tabs>
        <w:rPr>
          <w:rFonts w:ascii="Tinos" w:hAnsi="Tinos" w:cs="Tinos"/>
        </w:rPr>
      </w:pPr>
      <w:r>
        <w:rPr>
          <w:rFonts w:ascii="Tinos" w:hAnsi="Tinos" w:eastAsia="Tinos" w:cs="Tinos"/>
          <w:b/>
          <w:bCs/>
        </w:rPr>
        <w:t xml:space="preserve">Договор - </w:t>
      </w:r>
      <w:r>
        <w:rPr>
          <w:rFonts w:ascii="Tinos" w:hAnsi="Tinos" w:eastAsia="Tinos" w:cs="Tinos"/>
        </w:rPr>
        <w:t xml:space="preserve">нас</w:t>
      </w:r>
      <w:r>
        <w:rPr>
          <w:rFonts w:ascii="Tinos" w:hAnsi="Tinos" w:eastAsia="Tinos" w:cs="Tinos"/>
        </w:rPr>
        <w:t xml:space="preserve">тоящ</w:t>
      </w:r>
      <w:r>
        <w:rPr>
          <w:rFonts w:ascii="Tinos" w:hAnsi="Tinos" w:eastAsia="Tinos" w:cs="Tinos"/>
          <w:bCs/>
        </w:rPr>
        <w:t xml:space="preserve">ий документ, включая все содержащиеся в нем приложения, а также дополнения и изменения к нему, подписанные Покупателем и Поставщиком.</w:t>
      </w:r>
      <w:r>
        <w:rPr>
          <w:rFonts w:ascii="Tinos" w:hAnsi="Tinos" w:cs="Tinos"/>
        </w:rPr>
      </w:r>
    </w:p>
    <w:p>
      <w:pPr>
        <w:jc w:val="both"/>
        <w:spacing w:after="0" w:line="17" w:lineRule="atLeast"/>
        <w:shd w:val="clear" w:color="auto" w:fill="ffffff"/>
        <w:widowControl w:val="off"/>
        <w:tabs>
          <w:tab w:val="left" w:pos="1274" w:leader="none"/>
        </w:tabs>
        <w:rPr>
          <w:rFonts w:ascii="Tinos" w:hAnsi="Tinos" w:cs="Tinos"/>
        </w:rPr>
      </w:pPr>
      <w:r>
        <w:rPr>
          <w:rFonts w:ascii="Tinos" w:hAnsi="Tinos" w:eastAsia="Tinos" w:cs="Tinos"/>
          <w:b/>
          <w:bCs/>
        </w:rPr>
        <w:t xml:space="preserve">Качество</w:t>
      </w:r>
      <w:r>
        <w:rPr>
          <w:rFonts w:ascii="Tinos" w:hAnsi="Tinos" w:eastAsia="Tinos" w:cs="Tinos"/>
          <w:bCs/>
        </w:rPr>
        <w:t xml:space="preserve"> - степень соответствия оборудования, комплектующих, изделий и материалов установленным требованиям проектной, технической, конструкторской и/или нормативной документации, а также требованиям Договора.</w:t>
      </w:r>
      <w:r>
        <w:rPr>
          <w:rFonts w:ascii="Tinos" w:hAnsi="Tinos" w:cs="Tinos"/>
        </w:rPr>
      </w:r>
    </w:p>
    <w:p>
      <w:pPr>
        <w:jc w:val="both"/>
        <w:spacing w:after="0" w:line="17" w:lineRule="atLeast"/>
        <w:shd w:val="clear" w:color="auto" w:fill="ffffff"/>
        <w:widowControl w:val="off"/>
        <w:tabs>
          <w:tab w:val="left" w:pos="1274" w:leader="none"/>
        </w:tabs>
        <w:rPr>
          <w:rFonts w:ascii="Tinos" w:hAnsi="Tinos" w:cs="Tinos"/>
        </w:rPr>
      </w:pPr>
      <w:r>
        <w:rPr>
          <w:rFonts w:ascii="Tinos" w:hAnsi="Tinos" w:eastAsia="Tinos" w:cs="Tinos"/>
          <w:b/>
        </w:rPr>
        <w:t xml:space="preserve">Недостаток </w:t>
      </w:r>
      <w:r>
        <w:rPr>
          <w:rFonts w:ascii="Tinos" w:hAnsi="Tinos" w:eastAsia="Tinos" w:cs="Tinos"/>
        </w:rPr>
        <w:t xml:space="preserve">- любой дефект, повреждение, отказ, поломка</w:t>
      </w:r>
      <w:r>
        <w:rPr>
          <w:rFonts w:ascii="Tinos" w:hAnsi="Tinos" w:eastAsia="Tinos" w:cs="Tinos"/>
        </w:rPr>
        <w:t xml:space="preserve"> или несоответствие Товара, его комплектующих изделий, принадлежностей технической документации, закупочной документации и всем другим требованиям </w:t>
      </w:r>
      <w:r>
        <w:rPr>
          <w:rFonts w:ascii="Tinos" w:hAnsi="Tinos" w:eastAsia="Tinos" w:cs="Tinos"/>
          <w:spacing w:val="-4"/>
        </w:rPr>
        <w:t xml:space="preserve">Договора, снижающее или исключающее пригодность Товара для использования </w:t>
      </w:r>
      <w:r>
        <w:rPr>
          <w:rFonts w:ascii="Tinos" w:hAnsi="Tinos" w:eastAsia="Tinos" w:cs="Tinos"/>
        </w:rPr>
        <w:t xml:space="preserve">в соответствии с его обычным назначе</w:t>
      </w:r>
      <w:r>
        <w:rPr>
          <w:rFonts w:ascii="Tinos" w:hAnsi="Tinos" w:eastAsia="Tinos" w:cs="Tinos"/>
        </w:rPr>
        <w:t xml:space="preserve">нием согласно условиям Договора и ухудшающее иные характеристики Товара.</w:t>
      </w:r>
      <w:r>
        <w:rPr>
          <w:rFonts w:ascii="Tinos" w:hAnsi="Tinos" w:cs="Tinos"/>
        </w:rPr>
      </w:r>
    </w:p>
    <w:p>
      <w:pPr>
        <w:jc w:val="both"/>
        <w:spacing w:after="0" w:line="17" w:lineRule="atLeast"/>
        <w:shd w:val="clear" w:color="auto" w:fill="ffffff"/>
        <w:widowControl w:val="off"/>
        <w:tabs>
          <w:tab w:val="left" w:pos="1274" w:leader="none"/>
        </w:tabs>
        <w:rPr>
          <w:rFonts w:ascii="Tinos" w:hAnsi="Tinos" w:cs="Tinos"/>
        </w:rPr>
      </w:pPr>
      <w:r>
        <w:rPr>
          <w:rFonts w:ascii="Tinos" w:hAnsi="Tinos" w:eastAsia="Tinos" w:cs="Tinos"/>
          <w:b/>
        </w:rPr>
        <w:t xml:space="preserve">Существенный недостаток - </w:t>
      </w:r>
      <w:r>
        <w:rPr>
          <w:rFonts w:ascii="Tinos" w:hAnsi="Tinos" w:eastAsia="Tinos" w:cs="Tinos"/>
        </w:rPr>
        <w:t xml:space="preserve">неустранимый недостаток или недостаток, который не может быть устранен без несоразмерных расходов или затрат времени, или выявляется неоднократно, или проявл</w:t>
      </w:r>
      <w:r>
        <w:rPr>
          <w:rFonts w:ascii="Tinos" w:hAnsi="Tinos" w:eastAsia="Tinos" w:cs="Tinos"/>
        </w:rPr>
        <w:t xml:space="preserve">яется вновь после его устранения, или другие подобные недостатки, позволяющие считать дефект агрегата (узла) транспортного средства существенным, к которым, в частности, относит:</w:t>
      </w:r>
      <w:r>
        <w:rPr>
          <w:rFonts w:ascii="Tinos" w:hAnsi="Tinos" w:cs="Tinos"/>
        </w:rPr>
      </w:r>
    </w:p>
    <w:p>
      <w:pPr>
        <w:pStyle w:val="1315"/>
        <w:numPr>
          <w:ilvl w:val="0"/>
          <w:numId w:val="53"/>
        </w:numPr>
        <w:ind w:left="0" w:firstLine="0"/>
        <w:jc w:val="both"/>
        <w:spacing w:line="17" w:lineRule="atLeast"/>
        <w:shd w:val="clear" w:color="auto" w:fill="ffffff"/>
        <w:tabs>
          <w:tab w:val="left" w:pos="284" w:leader="none"/>
        </w:tabs>
        <w:rPr>
          <w:rFonts w:ascii="Tinos" w:hAnsi="Tinos" w:cs="Tinos"/>
          <w:sz w:val="22"/>
          <w:szCs w:val="22"/>
        </w:rPr>
      </w:pPr>
      <w:r>
        <w:rPr>
          <w:rFonts w:ascii="Tinos" w:hAnsi="Tinos" w:eastAsia="Tinos" w:cs="Tinos"/>
          <w:sz w:val="22"/>
          <w:szCs w:val="22"/>
        </w:rPr>
        <w:t xml:space="preserve">снижение ресурса (срока службы) изделия, заложенного изготовителем, утрата то</w:t>
      </w:r>
      <w:r>
        <w:rPr>
          <w:rFonts w:ascii="Tinos" w:hAnsi="Tinos" w:eastAsia="Tinos" w:cs="Tinos"/>
          <w:sz w:val="22"/>
          <w:szCs w:val="22"/>
        </w:rPr>
        <w:t xml:space="preserve">варной стоимости изделия;</w:t>
      </w:r>
      <w:r>
        <w:rPr>
          <w:rFonts w:ascii="Tinos" w:hAnsi="Tinos" w:cs="Tinos"/>
          <w:sz w:val="22"/>
          <w:szCs w:val="22"/>
        </w:rPr>
      </w:r>
    </w:p>
    <w:p>
      <w:pPr>
        <w:pStyle w:val="1315"/>
        <w:numPr>
          <w:ilvl w:val="0"/>
          <w:numId w:val="53"/>
        </w:numPr>
        <w:ind w:left="0" w:firstLine="0"/>
        <w:jc w:val="both"/>
        <w:spacing w:line="17" w:lineRule="atLeast"/>
        <w:shd w:val="clear" w:color="auto" w:fill="ffffff"/>
        <w:tabs>
          <w:tab w:val="left" w:pos="284" w:leader="none"/>
        </w:tabs>
        <w:rPr>
          <w:rFonts w:ascii="Tinos" w:hAnsi="Tinos" w:cs="Tinos"/>
          <w:sz w:val="22"/>
          <w:szCs w:val="22"/>
        </w:rPr>
      </w:pPr>
      <w:r>
        <w:rPr>
          <w:rFonts w:ascii="Tinos" w:hAnsi="Tinos" w:eastAsia="Tinos" w:cs="Tinos"/>
          <w:sz w:val="22"/>
          <w:szCs w:val="22"/>
        </w:rPr>
        <w:t xml:space="preserve">неустранимый дефект базовой детали изделия или дефект базовой детали изделия, возникший вновь после его устранения в соответствии с рекомендованной ремонтной технологией;</w:t>
      </w:r>
      <w:r>
        <w:rPr>
          <w:rFonts w:ascii="Tinos" w:hAnsi="Tinos" w:cs="Tinos"/>
          <w:sz w:val="22"/>
          <w:szCs w:val="22"/>
        </w:rPr>
      </w:r>
    </w:p>
    <w:p>
      <w:pPr>
        <w:pStyle w:val="1315"/>
        <w:numPr>
          <w:ilvl w:val="0"/>
          <w:numId w:val="53"/>
        </w:numPr>
        <w:ind w:left="0" w:firstLine="0"/>
        <w:jc w:val="both"/>
        <w:spacing w:line="17" w:lineRule="atLeast"/>
        <w:shd w:val="clear" w:color="auto" w:fill="ffffff"/>
        <w:tabs>
          <w:tab w:val="left" w:pos="284" w:leader="none"/>
        </w:tabs>
        <w:rPr>
          <w:rFonts w:ascii="Tinos" w:hAnsi="Tinos" w:cs="Tinos"/>
          <w:sz w:val="22"/>
          <w:szCs w:val="22"/>
        </w:rPr>
      </w:pPr>
      <w:r>
        <w:rPr>
          <w:rFonts w:ascii="Tinos" w:hAnsi="Tinos" w:eastAsia="Tinos" w:cs="Tinos"/>
          <w:sz w:val="22"/>
          <w:szCs w:val="22"/>
        </w:rPr>
        <w:t xml:space="preserve">дефект или совокупность дефектов, стоимость устранения кото</w:t>
      </w:r>
      <w:r>
        <w:rPr>
          <w:rFonts w:ascii="Tinos" w:hAnsi="Tinos" w:eastAsia="Tinos" w:cs="Tinos"/>
          <w:sz w:val="22"/>
          <w:szCs w:val="22"/>
        </w:rPr>
        <w:t xml:space="preserve">рых с утратой товарной стоимости изделия составляет не менее 10% стоимости нового изделия.</w:t>
      </w:r>
      <w:r>
        <w:rPr>
          <w:rFonts w:ascii="Tinos" w:hAnsi="Tinos" w:cs="Tinos"/>
          <w:sz w:val="22"/>
          <w:szCs w:val="22"/>
        </w:rPr>
      </w:r>
    </w:p>
    <w:p>
      <w:pPr>
        <w:pStyle w:val="1315"/>
        <w:numPr>
          <w:ilvl w:val="0"/>
          <w:numId w:val="53"/>
        </w:numPr>
        <w:ind w:left="0" w:firstLine="0"/>
        <w:jc w:val="both"/>
        <w:spacing w:line="17" w:lineRule="atLeast"/>
        <w:shd w:val="clear" w:color="auto" w:fill="ffffff"/>
        <w:tabs>
          <w:tab w:val="left" w:pos="284" w:leader="none"/>
        </w:tabs>
        <w:rPr>
          <w:rFonts w:ascii="Tinos" w:hAnsi="Tinos" w:cs="Tinos"/>
          <w:sz w:val="22"/>
          <w:szCs w:val="22"/>
        </w:rPr>
      </w:pPr>
      <w:r>
        <w:rPr>
          <w:rFonts w:ascii="Tinos" w:hAnsi="Tinos" w:eastAsia="Tinos" w:cs="Tinos"/>
          <w:sz w:val="22"/>
          <w:szCs w:val="22"/>
        </w:rPr>
        <w:t xml:space="preserve">выявлен дефект несущей конструкции (кузова, рамы), удовлетворяющий хотя бы одному из условий, указанных в предыдущем списке;</w:t>
      </w:r>
      <w:r>
        <w:rPr>
          <w:rFonts w:ascii="Tinos" w:hAnsi="Tinos" w:cs="Tinos"/>
          <w:sz w:val="22"/>
          <w:szCs w:val="22"/>
        </w:rPr>
      </w:r>
    </w:p>
    <w:p>
      <w:pPr>
        <w:pStyle w:val="1315"/>
        <w:numPr>
          <w:ilvl w:val="0"/>
          <w:numId w:val="53"/>
        </w:numPr>
        <w:ind w:left="0" w:firstLine="0"/>
        <w:jc w:val="both"/>
        <w:spacing w:line="17" w:lineRule="atLeast"/>
        <w:shd w:val="clear" w:color="auto" w:fill="ffffff"/>
        <w:tabs>
          <w:tab w:val="left" w:pos="284" w:leader="none"/>
        </w:tabs>
        <w:rPr>
          <w:rFonts w:ascii="Tinos" w:hAnsi="Tinos" w:cs="Tinos"/>
          <w:sz w:val="22"/>
          <w:szCs w:val="22"/>
        </w:rPr>
      </w:pPr>
      <w:r>
        <w:rPr>
          <w:rFonts w:ascii="Tinos" w:hAnsi="Tinos" w:eastAsia="Tinos" w:cs="Tinos"/>
          <w:sz w:val="22"/>
          <w:szCs w:val="22"/>
        </w:rPr>
        <w:t xml:space="preserve">выявлены дефекты хотя бы трех основных а</w:t>
      </w:r>
      <w:r>
        <w:rPr>
          <w:rFonts w:ascii="Tinos" w:hAnsi="Tinos" w:eastAsia="Tinos" w:cs="Tinos"/>
          <w:sz w:val="22"/>
          <w:szCs w:val="22"/>
        </w:rPr>
        <w:t xml:space="preserve">грегатов (двигателя, КПП, раздаточной коробки, заднего моста в сборе, переднего моста в сборе и т.п.), удовлетворяющие хотя бы одному из условий, указанных в предыдущем списке.</w:t>
      </w:r>
      <w:r>
        <w:rPr>
          <w:rFonts w:ascii="Tinos" w:hAnsi="Tinos" w:cs="Tinos"/>
          <w:sz w:val="22"/>
          <w:szCs w:val="22"/>
        </w:rPr>
      </w:r>
    </w:p>
    <w:p>
      <w:pPr>
        <w:jc w:val="both"/>
        <w:spacing w:after="0" w:line="17" w:lineRule="atLeast"/>
        <w:shd w:val="clear" w:color="auto" w:fill="ffffff"/>
        <w:widowControl w:val="off"/>
        <w:tabs>
          <w:tab w:val="left" w:pos="1274" w:leader="none"/>
        </w:tabs>
        <w:rPr>
          <w:rFonts w:ascii="Tinos" w:hAnsi="Tinos" w:cs="Tinos"/>
        </w:rPr>
      </w:pPr>
      <w:r>
        <w:rPr>
          <w:rFonts w:ascii="Tinos" w:hAnsi="Tinos" w:eastAsia="Tinos" w:cs="Tinos"/>
          <w:b/>
          <w:spacing w:val="-4"/>
        </w:rPr>
        <w:t xml:space="preserve">Объект поставки - </w:t>
      </w:r>
      <w:r>
        <w:rPr>
          <w:rFonts w:ascii="Tinos" w:hAnsi="Tinos" w:eastAsia="Tinos" w:cs="Tinos"/>
          <w:spacing w:val="-4"/>
        </w:rPr>
        <w:t xml:space="preserve"> наименование и адрес нахождения места</w:t>
      </w:r>
      <w:r>
        <w:rPr>
          <w:rFonts w:ascii="Tinos" w:hAnsi="Tinos" w:eastAsia="Tinos" w:cs="Tinos"/>
        </w:rPr>
        <w:t xml:space="preserve"> строительства / склада</w:t>
      </w:r>
      <w:r>
        <w:rPr>
          <w:rFonts w:ascii="Tinos" w:hAnsi="Tinos" w:eastAsia="Tinos" w:cs="Tinos"/>
        </w:rPr>
        <w:t xml:space="preserve"> Покупателя, куда осуществляется поставка Товара (указаны в Приложении 1)</w:t>
      </w:r>
      <w:r>
        <w:rPr>
          <w:rFonts w:ascii="Tinos" w:hAnsi="Tinos" w:eastAsia="Tinos" w:cs="Tinos"/>
          <w:i/>
        </w:rPr>
        <w:t xml:space="preserve">.</w:t>
      </w:r>
      <w:r>
        <w:rPr>
          <w:rFonts w:ascii="Tinos" w:hAnsi="Tinos" w:cs="Tinos"/>
        </w:rPr>
      </w:r>
    </w:p>
    <w:p>
      <w:pPr>
        <w:jc w:val="both"/>
        <w:spacing w:after="0" w:line="17" w:lineRule="atLeast"/>
        <w:widowControl w:val="off"/>
        <w:rPr>
          <w:rFonts w:ascii="Tinos" w:hAnsi="Tinos" w:cs="Tinos"/>
          <w:bCs/>
        </w:rPr>
      </w:pPr>
      <w:r>
        <w:rPr>
          <w:rFonts w:ascii="Tinos" w:hAnsi="Tinos" w:eastAsia="Tinos" w:cs="Tinos"/>
          <w:b/>
          <w:bCs/>
        </w:rPr>
        <w:t xml:space="preserve">Товар</w:t>
      </w:r>
      <w:r>
        <w:rPr>
          <w:rFonts w:ascii="Tinos" w:hAnsi="Tinos" w:eastAsia="Tinos" w:cs="Tinos"/>
          <w:bCs/>
        </w:rPr>
        <w:t xml:space="preserve"> - наименование, страна происхождения, характеристики оборудования, ма</w:t>
      </w:r>
      <w:r>
        <w:rPr>
          <w:rFonts w:ascii="Tinos" w:hAnsi="Tinos" w:eastAsia="Tinos" w:cs="Tinos"/>
          <w:bCs/>
          <w:spacing w:val="-2"/>
        </w:rPr>
        <w:t xml:space="preserve">териалов, иной поставляемой продукции в соответствии с приложением</w:t>
      </w:r>
      <w:r>
        <w:rPr>
          <w:rFonts w:ascii="Tinos" w:hAnsi="Tinos" w:eastAsia="Tinos" w:cs="Tinos"/>
          <w:bCs/>
        </w:rPr>
        <w:t xml:space="preserve"> № 1 к Договору.</w:t>
      </w:r>
      <w:r>
        <w:rPr>
          <w:rFonts w:ascii="Tinos" w:hAnsi="Tinos" w:cs="Tinos"/>
          <w:bCs/>
        </w:rPr>
      </w:r>
    </w:p>
    <w:p>
      <w:pPr>
        <w:pStyle w:val="1433"/>
        <w:jc w:val="both"/>
        <w:spacing w:line="17" w:lineRule="atLeast"/>
        <w:widowControl w:val="off"/>
        <w:rPr>
          <w:rFonts w:ascii="Tinos" w:hAnsi="Tinos" w:cs="Tinos"/>
          <w:bCs/>
        </w:rPr>
      </w:pPr>
      <w:r>
        <w:rPr>
          <w:rFonts w:ascii="Tinos" w:hAnsi="Tinos" w:eastAsia="Tinos" w:cs="Tinos"/>
          <w:b/>
          <w:bCs/>
        </w:rPr>
        <w:t xml:space="preserve">Подтверждение страны пр</w:t>
      </w:r>
      <w:r>
        <w:rPr>
          <w:rFonts w:ascii="Tinos" w:hAnsi="Tinos" w:eastAsia="Tinos" w:cs="Tinos"/>
          <w:b/>
          <w:bCs/>
        </w:rPr>
        <w:t xml:space="preserve">оисхождения Товара</w:t>
      </w:r>
      <w:r>
        <w:rPr>
          <w:rFonts w:ascii="Tinos" w:hAnsi="Tinos" w:eastAsia="Tinos" w:cs="Tinos"/>
          <w:bCs/>
        </w:rPr>
        <w:t xml:space="preserve"> - предоставление документа, подтверждающего страну происхождения Товара, отвечающего требования Закона РФ от 07.07.1993 № 5340-1 «О торгово-промышленных палатах в Российской Федерации» и/или Таможенного кодекса Евразийского экономическог</w:t>
      </w:r>
      <w:r>
        <w:rPr>
          <w:rFonts w:ascii="Tinos" w:hAnsi="Tinos" w:eastAsia="Tinos" w:cs="Tinos"/>
          <w:bCs/>
        </w:rPr>
        <w:t xml:space="preserve">о союза.</w:t>
      </w:r>
      <w:r>
        <w:rPr>
          <w:rFonts w:ascii="Tinos" w:hAnsi="Tinos" w:cs="Tinos"/>
          <w:bCs/>
        </w:rPr>
      </w:r>
    </w:p>
    <w:p>
      <w:pPr>
        <w:pStyle w:val="1315"/>
        <w:numPr>
          <w:ilvl w:val="0"/>
          <w:numId w:val="52"/>
        </w:numPr>
        <w:ind w:left="0" w:right="992" w:firstLine="0"/>
        <w:jc w:val="center"/>
        <w:spacing w:line="17" w:lineRule="atLeast"/>
        <w:tabs>
          <w:tab w:val="left" w:pos="284" w:leader="none"/>
        </w:tabs>
        <w:rPr>
          <w:rFonts w:ascii="Tinos" w:hAnsi="Tinos" w:cs="Tinos"/>
          <w:b/>
          <w:bCs/>
          <w:sz w:val="22"/>
          <w:szCs w:val="22"/>
        </w:rPr>
      </w:pPr>
      <w:r>
        <w:rPr>
          <w:rFonts w:ascii="Tinos" w:hAnsi="Tinos" w:eastAsia="Tinos" w:cs="Tinos"/>
          <w:b/>
          <w:bCs/>
          <w:sz w:val="22"/>
          <w:szCs w:val="22"/>
        </w:rPr>
        <w:t xml:space="preserve">Предмет Договора</w:t>
      </w:r>
      <w:r>
        <w:rPr>
          <w:rFonts w:ascii="Tinos" w:hAnsi="Tinos" w:cs="Tinos"/>
          <w:b/>
          <w:bCs/>
          <w:sz w:val="22"/>
          <w:szCs w:val="22"/>
        </w:rPr>
      </w:r>
    </w:p>
    <w:p>
      <w:pPr>
        <w:jc w:val="both"/>
        <w:spacing w:after="0" w:line="17" w:lineRule="atLeast"/>
        <w:widowControl w:val="off"/>
        <w:rPr>
          <w:rFonts w:ascii="Tinos" w:hAnsi="Tinos" w:cs="Tinos"/>
          <w:i/>
        </w:rPr>
      </w:pPr>
      <w:r>
        <w:rPr>
          <w:rFonts w:ascii="Tinos" w:hAnsi="Tinos" w:eastAsia="Tinos" w:cs="Tinos"/>
        </w:rPr>
        <w:t xml:space="preserve">2.1. Поставщик в соответствии с условиями Договора обязуется в обусловленный Договором срок передать в собственность Покупателя следующий Товар: автогидроподъемник ПСС-131.18Э, на шасси ГАЗ-C42A43, не бывший в употреблении, указан</w:t>
      </w:r>
      <w:r>
        <w:rPr>
          <w:rFonts w:ascii="Tinos" w:hAnsi="Tinos" w:eastAsia="Tinos" w:cs="Tinos"/>
        </w:rPr>
        <w:t xml:space="preserve">ный в приложении № 1 к Договору (далее - Товар),</w:t>
      </w:r>
      <w:r>
        <w:rPr>
          <w:rFonts w:ascii="Tinos" w:hAnsi="Tinos" w:eastAsia="Tinos" w:cs="Tinos"/>
          <w:i/>
        </w:rPr>
        <w:t xml:space="preserve"> </w:t>
      </w:r>
      <w:r>
        <w:rPr>
          <w:rFonts w:ascii="Tinos" w:hAnsi="Tinos" w:eastAsia="Tinos" w:cs="Tinos"/>
        </w:rPr>
        <w:t xml:space="preserve">а Покупатель обязуется принять и оплатить Товар.</w:t>
      </w:r>
      <w:r>
        <w:rPr>
          <w:rFonts w:ascii="Tinos" w:hAnsi="Tinos" w:cs="Tinos"/>
          <w:i/>
        </w:rPr>
      </w:r>
    </w:p>
    <w:p>
      <w:pPr>
        <w:pStyle w:val="1315"/>
        <w:numPr>
          <w:ilvl w:val="1"/>
          <w:numId w:val="50"/>
        </w:numPr>
        <w:ind w:left="0" w:firstLine="0"/>
        <w:jc w:val="both"/>
        <w:spacing w:line="17" w:lineRule="atLeast"/>
        <w:tabs>
          <w:tab w:val="left" w:pos="426" w:leader="none"/>
        </w:tabs>
        <w:rPr>
          <w:rFonts w:ascii="Tinos" w:hAnsi="Tinos" w:cs="Tinos"/>
          <w:sz w:val="22"/>
          <w:szCs w:val="22"/>
        </w:rPr>
      </w:pPr>
      <w:r>
        <w:rPr>
          <w:rFonts w:ascii="Tinos" w:hAnsi="Tinos" w:eastAsia="Tinos" w:cs="Tinos"/>
          <w:sz w:val="22"/>
          <w:szCs w:val="22"/>
        </w:rPr>
        <w:t xml:space="preserve">Ассортимент, комплектность, номенклатура, количество, цена каждой единицы Товара, его </w:t>
      </w:r>
      <w:r>
        <w:rPr>
          <w:rFonts w:ascii="Tinos" w:hAnsi="Tinos" w:eastAsia="Tinos" w:cs="Tinos"/>
          <w:sz w:val="22"/>
          <w:szCs w:val="22"/>
        </w:rPr>
        <w:t xml:space="preserve">характеристик</w:t>
      </w:r>
      <w:r>
        <w:rPr>
          <w:rFonts w:ascii="Tinos" w:hAnsi="Tinos" w:eastAsia="Tinos" w:cs="Tinos"/>
          <w:sz w:val="22"/>
          <w:szCs w:val="22"/>
        </w:rPr>
        <w:t xml:space="preserve">и, технические параметры, качество и комплектация, объект поставки, сроки поставки, страна происхождения, сведения о заводе-изготовителе, </w:t>
      </w:r>
      <w:r>
        <w:rPr>
          <w:rFonts w:ascii="Tinos" w:hAnsi="Tinos" w:eastAsia="Tinos" w:cs="Tinos"/>
          <w:spacing w:val="-4"/>
          <w:sz w:val="22"/>
          <w:szCs w:val="22"/>
        </w:rPr>
        <w:t xml:space="preserve">определяются согласно Техническим характеристикам, требованиям к комплектации, Общим требованиям (Приложение</w:t>
      </w:r>
      <w:r>
        <w:rPr>
          <w:rFonts w:ascii="Tinos" w:hAnsi="Tinos" w:eastAsia="Tinos" w:cs="Tinos"/>
          <w:sz w:val="22"/>
          <w:szCs w:val="22"/>
        </w:rPr>
        <w:t xml:space="preserve"> № 1) и Та</w:t>
      </w:r>
      <w:r>
        <w:rPr>
          <w:rFonts w:ascii="Tinos" w:hAnsi="Tinos" w:eastAsia="Tinos" w:cs="Tinos"/>
          <w:sz w:val="22"/>
          <w:szCs w:val="22"/>
        </w:rPr>
        <w:t xml:space="preserve">блице стоимости поставки Товара (приложение № 2) к Договору, а также документацией на Товар.</w:t>
      </w:r>
      <w:r>
        <w:rPr>
          <w:rFonts w:ascii="Tinos" w:hAnsi="Tinos" w:cs="Tinos"/>
          <w:sz w:val="22"/>
          <w:szCs w:val="22"/>
        </w:rPr>
      </w:r>
    </w:p>
    <w:p>
      <w:pPr>
        <w:numPr>
          <w:ilvl w:val="0"/>
          <w:numId w:val="52"/>
        </w:numPr>
        <w:ind w:left="0" w:right="1417" w:firstLine="0"/>
        <w:jc w:val="center"/>
        <w:spacing w:after="0" w:line="17" w:lineRule="atLeast"/>
        <w:widowControl w:val="off"/>
        <w:tabs>
          <w:tab w:val="left" w:pos="284" w:leader="none"/>
        </w:tabs>
        <w:rPr>
          <w:rFonts w:ascii="Tinos" w:hAnsi="Tinos" w:cs="Tinos"/>
          <w:b/>
          <w:bCs/>
        </w:rPr>
      </w:pPr>
      <w:r>
        <w:rPr>
          <w:rFonts w:ascii="Tinos" w:hAnsi="Tinos" w:eastAsia="Tinos" w:cs="Tinos"/>
          <w:b/>
          <w:bCs/>
        </w:rPr>
        <w:t xml:space="preserve">Цена</w:t>
      </w:r>
      <w:r>
        <w:rPr>
          <w:rFonts w:ascii="Tinos" w:hAnsi="Tinos" w:cs="Tinos"/>
          <w:b/>
          <w:bCs/>
        </w:rPr>
      </w:r>
    </w:p>
    <w:p>
      <w:pPr>
        <w:pStyle w:val="1315"/>
        <w:numPr>
          <w:ilvl w:val="1"/>
          <w:numId w:val="51"/>
        </w:numPr>
        <w:ind w:left="0" w:firstLine="0"/>
        <w:jc w:val="both"/>
        <w:spacing w:line="17" w:lineRule="atLeast"/>
        <w:tabs>
          <w:tab w:val="left" w:pos="426" w:leader="none"/>
        </w:tabs>
        <w:rPr>
          <w:rFonts w:ascii="Tinos" w:hAnsi="Tinos" w:cs="Tinos"/>
          <w:sz w:val="22"/>
          <w:szCs w:val="22"/>
        </w:rPr>
      </w:pPr>
      <w:r>
        <w:rPr>
          <w:rFonts w:ascii="Tinos" w:hAnsi="Tinos" w:eastAsia="Tinos" w:cs="Tinos"/>
          <w:sz w:val="22"/>
          <w:szCs w:val="22"/>
        </w:rPr>
        <w:t xml:space="preserve">Цена Договора без НДС составляет: </w:t>
      </w:r>
      <w:r>
        <w:rPr>
          <w:rFonts w:ascii="Tinos" w:hAnsi="Tinos" w:eastAsia="Tinos" w:cs="Tinos"/>
          <w:sz w:val="22"/>
          <w:szCs w:val="22"/>
        </w:rPr>
        <w:t xml:space="preserve">___</w:t>
      </w:r>
      <w:r>
        <w:rPr>
          <w:rFonts w:ascii="Tinos" w:hAnsi="Tinos" w:eastAsia="Tinos" w:cs="Tinos"/>
          <w:sz w:val="22"/>
          <w:szCs w:val="22"/>
        </w:rPr>
        <w:t xml:space="preserve"> (_) рублей _ копеек. Кроме того, НДС 20% составляет: __ (_) рублей _ копеек</w:t>
      </w:r>
      <w:r>
        <w:rPr>
          <w:rFonts w:ascii="Tinos" w:hAnsi="Tinos" w:eastAsia="Tinos" w:cs="Tinos"/>
          <w:sz w:val="22"/>
          <w:szCs w:val="22"/>
        </w:rPr>
        <w:t xml:space="preserve">. Всего с НДС цена Договора составляет: __ (_) рублей _ копеек. Цена Договора указана в Таблице стоимости поставки Товара (Приложение № 2) к Договору. Цена является твердой, окончательной и не подлежит изменению в течение срока его действия.</w:t>
      </w:r>
      <w:r>
        <w:rPr>
          <w:rFonts w:ascii="Tinos" w:hAnsi="Tinos" w:cs="Tinos"/>
          <w:sz w:val="22"/>
          <w:szCs w:val="22"/>
        </w:rPr>
      </w:r>
    </w:p>
    <w:p>
      <w:pPr>
        <w:pStyle w:val="1433"/>
        <w:jc w:val="both"/>
        <w:spacing w:line="17" w:lineRule="atLeast"/>
        <w:widowControl w:val="off"/>
        <w:tabs>
          <w:tab w:val="left" w:pos="426" w:leader="none"/>
        </w:tabs>
        <w:rPr>
          <w:rFonts w:ascii="Tinos" w:hAnsi="Tinos" w:cs="Tinos"/>
        </w:rPr>
        <w:suppressLineNumbers/>
      </w:pPr>
      <w:r>
        <w:rPr>
          <w:rFonts w:ascii="Tinos" w:hAnsi="Tinos" w:eastAsia="Tinos" w:cs="Tinos"/>
          <w:lang w:eastAsia="ru-RU"/>
        </w:rPr>
        <w:t xml:space="preserve">В случае измен</w:t>
      </w:r>
      <w:r>
        <w:rPr>
          <w:rFonts w:ascii="Tinos" w:hAnsi="Tinos" w:eastAsia="Tinos" w:cs="Tinos"/>
          <w:lang w:eastAsia="ru-RU"/>
        </w:rPr>
        <w:t xml:space="preserve">ения в течение срока действия Договора ставки НДС цена Договора с даты изменения будет рассчитываться с учетом новой ставки налога, который уплачивается сверх цены Договора, без заключения дополнительного соглашения к настоящему Договору.</w:t>
      </w:r>
      <w:r>
        <w:rPr>
          <w:rFonts w:ascii="Tinos" w:hAnsi="Tinos" w:cs="Tinos"/>
        </w:rPr>
      </w:r>
    </w:p>
    <w:p>
      <w:pPr>
        <w:pStyle w:val="1315"/>
        <w:numPr>
          <w:ilvl w:val="1"/>
          <w:numId w:val="51"/>
        </w:numPr>
        <w:ind w:left="0" w:firstLine="0"/>
        <w:jc w:val="both"/>
        <w:spacing w:line="17" w:lineRule="atLeast"/>
        <w:tabs>
          <w:tab w:val="left" w:pos="426" w:leader="none"/>
          <w:tab w:val="left" w:pos="1134" w:leader="none"/>
        </w:tabs>
        <w:rPr>
          <w:rFonts w:ascii="Tinos" w:hAnsi="Tinos" w:cs="Tinos"/>
          <w:sz w:val="22"/>
          <w:szCs w:val="22"/>
        </w:rPr>
      </w:pPr>
      <w:r>
        <w:rPr>
          <w:rFonts w:ascii="Tinos" w:hAnsi="Tinos" w:eastAsia="Tinos" w:cs="Tinos"/>
          <w:sz w:val="22"/>
          <w:szCs w:val="22"/>
        </w:rPr>
        <w:t xml:space="preserve">Цена Договора вкл</w:t>
      </w:r>
      <w:r>
        <w:rPr>
          <w:rFonts w:ascii="Tinos" w:hAnsi="Tinos" w:eastAsia="Tinos" w:cs="Tinos"/>
          <w:sz w:val="22"/>
          <w:szCs w:val="22"/>
        </w:rPr>
        <w:t xml:space="preserve">ючает все затраты, связанные со стоимостью упаковки, погрузкой, доставкой до объекта поставки, налогами, сборами, платежами, а также таможенными пошлинами, расходами на таможенное оформление и декларирование Товара (для импортного товара) и другими обязате</w:t>
      </w:r>
      <w:r>
        <w:rPr>
          <w:rFonts w:ascii="Tinos" w:hAnsi="Tinos" w:eastAsia="Tinos" w:cs="Tinos"/>
          <w:sz w:val="22"/>
          <w:szCs w:val="22"/>
        </w:rPr>
        <w:t xml:space="preserve">льными отчислениями, которые производятся Поставщиком в соответствии с установленным законодательством Российской Федерации порядком, а также иные возможные затраты не противоречащие предмету Договора.</w:t>
      </w:r>
      <w:r>
        <w:rPr>
          <w:rFonts w:ascii="Tinos" w:hAnsi="Tinos" w:cs="Tinos"/>
          <w:sz w:val="22"/>
          <w:szCs w:val="22"/>
        </w:rPr>
      </w:r>
    </w:p>
    <w:p>
      <w:pPr>
        <w:pStyle w:val="1315"/>
        <w:numPr>
          <w:ilvl w:val="0"/>
          <w:numId w:val="51"/>
        </w:numPr>
        <w:ind w:left="0" w:firstLine="0"/>
        <w:jc w:val="center"/>
        <w:spacing w:line="17" w:lineRule="atLeast"/>
        <w:tabs>
          <w:tab w:val="left" w:pos="425" w:leader="none"/>
        </w:tabs>
        <w:rPr>
          <w:rFonts w:ascii="Tinos" w:hAnsi="Tinos" w:cs="Tinos"/>
          <w:iCs/>
          <w:sz w:val="22"/>
          <w:szCs w:val="22"/>
        </w:rPr>
      </w:pPr>
      <w:r>
        <w:rPr>
          <w:rFonts w:ascii="Tinos" w:hAnsi="Tinos" w:eastAsia="Tinos" w:cs="Tinos"/>
          <w:b/>
          <w:bCs/>
          <w:sz w:val="22"/>
          <w:szCs w:val="22"/>
        </w:rPr>
        <w:t xml:space="preserve">Порядок и условия платежей</w:t>
      </w:r>
      <w:r>
        <w:rPr>
          <w:rFonts w:ascii="Tinos" w:hAnsi="Tinos" w:cs="Tinos"/>
          <w:iCs/>
          <w:sz w:val="22"/>
          <w:szCs w:val="22"/>
        </w:rPr>
      </w:r>
    </w:p>
    <w:p>
      <w:pPr>
        <w:pStyle w:val="1315"/>
        <w:numPr>
          <w:ilvl w:val="1"/>
          <w:numId w:val="51"/>
        </w:numPr>
        <w:ind w:left="0" w:firstLine="0"/>
        <w:jc w:val="both"/>
        <w:spacing w:line="17" w:lineRule="atLeast"/>
        <w:tabs>
          <w:tab w:val="left" w:pos="0" w:leader="none"/>
          <w:tab w:val="left" w:pos="426" w:leader="none"/>
          <w:tab w:val="left" w:pos="1276" w:leader="none"/>
        </w:tabs>
        <w:rPr>
          <w:rFonts w:ascii="Tinos" w:hAnsi="Tinos" w:cs="Tinos"/>
          <w:sz w:val="22"/>
          <w:szCs w:val="22"/>
        </w:rPr>
      </w:pPr>
      <w:r>
        <w:rPr>
          <w:rFonts w:ascii="Tinos" w:hAnsi="Tinos" w:eastAsia="Tinos" w:cs="Tinos"/>
          <w:sz w:val="22"/>
          <w:szCs w:val="22"/>
        </w:rPr>
        <w:t xml:space="preserve">Оплата товара будет произво</w:t>
      </w:r>
      <w:r>
        <w:rPr>
          <w:rFonts w:ascii="Tinos" w:hAnsi="Tinos" w:eastAsia="Tinos" w:cs="Tinos"/>
          <w:sz w:val="22"/>
          <w:szCs w:val="22"/>
        </w:rPr>
        <w:t xml:space="preserve">диться денежными средствами в российских рублях платежными поручениями на счет Поставщика.</w:t>
      </w:r>
      <w:r>
        <w:rPr>
          <w:rFonts w:ascii="Tinos" w:hAnsi="Tinos" w:cs="Tinos"/>
          <w:sz w:val="22"/>
          <w:szCs w:val="22"/>
        </w:rPr>
      </w:r>
    </w:p>
    <w:p>
      <w:pPr>
        <w:pStyle w:val="1315"/>
        <w:numPr>
          <w:ilvl w:val="1"/>
          <w:numId w:val="51"/>
        </w:numPr>
        <w:ind w:left="0" w:firstLine="0"/>
        <w:jc w:val="both"/>
        <w:spacing w:line="17" w:lineRule="atLeast"/>
        <w:tabs>
          <w:tab w:val="left" w:pos="0" w:leader="none"/>
          <w:tab w:val="left" w:pos="426" w:leader="none"/>
          <w:tab w:val="left" w:pos="1276" w:leader="none"/>
        </w:tabs>
        <w:rPr>
          <w:rFonts w:ascii="Tinos" w:hAnsi="Tinos" w:cs="Tinos"/>
          <w:sz w:val="22"/>
          <w:szCs w:val="22"/>
        </w:rPr>
      </w:pPr>
      <w:r>
        <w:rPr>
          <w:rFonts w:ascii="Tinos" w:hAnsi="Tinos" w:eastAsia="Tinos" w:cs="Tinos"/>
          <w:sz w:val="22"/>
          <w:szCs w:val="22"/>
        </w:rPr>
        <w:t xml:space="preserve">Оплата поставленного Поставщиком Товара осуществляется Покупателем: </w:t>
      </w:r>
      <w:r>
        <w:rPr>
          <w:rFonts w:ascii="Tinos" w:hAnsi="Tinos" w:cs="Tinos"/>
          <w:sz w:val="22"/>
          <w:szCs w:val="22"/>
        </w:rPr>
      </w:r>
    </w:p>
    <w:p>
      <w:pPr>
        <w:jc w:val="both"/>
        <w:spacing w:after="0" w:line="17" w:lineRule="atLeast"/>
        <w:rPr>
          <w:rFonts w:ascii="Tinos" w:hAnsi="Tinos" w:cs="Tinos"/>
          <w:b/>
          <w:bCs/>
          <w:iCs/>
        </w:rPr>
      </w:pPr>
      <w:r>
        <w:rPr>
          <w:rFonts w:ascii="Tinos" w:hAnsi="Tinos" w:eastAsia="Tinos" w:cs="Tinos"/>
        </w:rPr>
        <w:t xml:space="preserve">- в течение 30 (тридцати) календарных дней</w:t>
      </w:r>
      <w:r>
        <w:rPr>
          <w:rStyle w:val="1333"/>
          <w:rFonts w:ascii="Tinos" w:hAnsi="Tinos" w:eastAsia="Tinos" w:cs="Tinos"/>
        </w:rPr>
        <w:footnoteReference w:id="3"/>
      </w:r>
      <w:r>
        <w:rPr>
          <w:rFonts w:ascii="Tinos" w:hAnsi="Tinos" w:eastAsia="Tinos" w:cs="Tinos"/>
        </w:rPr>
        <w:t xml:space="preserve"> </w:t>
      </w:r>
      <w:r>
        <w:rPr>
          <w:rFonts w:ascii="Tinos" w:hAnsi="Tinos" w:eastAsia="Tinos" w:cs="Tinos"/>
          <w:b/>
          <w:bCs/>
          <w:iCs/>
        </w:rPr>
        <w:t xml:space="preserve">(если в едином реестре субъектов малого и среднего предпринимательства отсутствуют сведения о Поставщике); </w:t>
      </w:r>
      <w:r>
        <w:rPr>
          <w:rFonts w:ascii="Tinos" w:hAnsi="Tinos" w:cs="Tinos"/>
          <w:b/>
          <w:bCs/>
          <w:iCs/>
        </w:rPr>
      </w:r>
    </w:p>
    <w:p>
      <w:pPr>
        <w:jc w:val="both"/>
        <w:spacing w:after="0" w:line="17" w:lineRule="atLeast"/>
        <w:rPr>
          <w:rFonts w:ascii="Tinos" w:hAnsi="Tinos" w:cs="Tinos"/>
        </w:rPr>
      </w:pPr>
      <w:r>
        <w:rPr>
          <w:rFonts w:ascii="Tinos" w:hAnsi="Tinos" w:eastAsia="Tinos" w:cs="Tinos"/>
        </w:rPr>
        <w:t xml:space="preserve">-в течение 7 (семи) рабочих дней</w:t>
      </w:r>
      <w:r>
        <w:rPr>
          <w:rFonts w:ascii="Tinos" w:hAnsi="Tinos" w:eastAsia="Tinos" w:cs="Tinos"/>
          <w:b/>
          <w:bCs/>
          <w:iCs/>
        </w:rPr>
        <w:t xml:space="preserve"> (если сведения о Поставщике содержатся в едином реестре субъектов малого и среднего предпринимательства)</w:t>
      </w:r>
      <w:r>
        <w:rPr>
          <w:rFonts w:ascii="Tinos" w:hAnsi="Tinos" w:cs="Tinos"/>
        </w:rPr>
      </w:r>
    </w:p>
    <w:p>
      <w:pPr>
        <w:pStyle w:val="1315"/>
        <w:ind w:left="0"/>
        <w:jc w:val="both"/>
        <w:spacing w:line="17" w:lineRule="atLeast"/>
        <w:tabs>
          <w:tab w:val="left" w:pos="0" w:leader="none"/>
          <w:tab w:val="left" w:pos="426" w:leader="none"/>
          <w:tab w:val="left" w:pos="1276" w:leader="none"/>
        </w:tabs>
        <w:rPr>
          <w:rFonts w:ascii="Tinos" w:hAnsi="Tinos" w:cs="Tinos"/>
          <w:sz w:val="22"/>
          <w:szCs w:val="22"/>
        </w:rPr>
      </w:pPr>
      <w:r>
        <w:rPr>
          <w:rFonts w:ascii="Tinos" w:hAnsi="Tinos" w:eastAsia="Tinos" w:cs="Tinos"/>
          <w:sz w:val="22"/>
          <w:szCs w:val="22"/>
        </w:rPr>
        <w:t xml:space="preserve">со дня под</w:t>
      </w:r>
      <w:r>
        <w:rPr>
          <w:rFonts w:ascii="Tinos" w:hAnsi="Tinos" w:eastAsia="Tinos" w:cs="Tinos"/>
          <w:sz w:val="22"/>
          <w:szCs w:val="22"/>
        </w:rPr>
        <w:t xml:space="preserve">писания Сторонами товарной накладной (унифицированная форма ТОРГ - 12) и фактической передачи Товара в полном объеме, в собственность Покупателя, на основании выставленного Поставщиком Покупателю надлежаще оформленного счета.</w:t>
      </w:r>
      <w:r>
        <w:rPr>
          <w:rFonts w:ascii="Tinos" w:hAnsi="Tinos" w:cs="Tinos"/>
          <w:sz w:val="22"/>
          <w:szCs w:val="22"/>
        </w:rPr>
      </w:r>
    </w:p>
    <w:p>
      <w:pPr>
        <w:pStyle w:val="1315"/>
        <w:numPr>
          <w:ilvl w:val="1"/>
          <w:numId w:val="51"/>
        </w:numPr>
        <w:ind w:left="0" w:firstLine="0"/>
        <w:jc w:val="both"/>
        <w:spacing w:line="17" w:lineRule="atLeast"/>
        <w:tabs>
          <w:tab w:val="left" w:pos="0" w:leader="none"/>
          <w:tab w:val="left" w:pos="426" w:leader="none"/>
          <w:tab w:val="left" w:pos="1276" w:leader="none"/>
        </w:tabs>
        <w:rPr>
          <w:rFonts w:ascii="Tinos" w:hAnsi="Tinos" w:cs="Tinos"/>
          <w:sz w:val="22"/>
          <w:szCs w:val="22"/>
        </w:rPr>
      </w:pPr>
      <w:r>
        <w:rPr>
          <w:rFonts w:ascii="Tinos" w:hAnsi="Tinos" w:eastAsia="Tinos" w:cs="Tinos"/>
          <w:sz w:val="22"/>
          <w:szCs w:val="22"/>
        </w:rPr>
        <w:t xml:space="preserve">Датой оплаты считается дата сп</w:t>
      </w:r>
      <w:r>
        <w:rPr>
          <w:rFonts w:ascii="Tinos" w:hAnsi="Tinos" w:eastAsia="Tinos" w:cs="Tinos"/>
          <w:sz w:val="22"/>
          <w:szCs w:val="22"/>
        </w:rPr>
        <w:t xml:space="preserve">исания денежных средств с расчетного счета Покупателя.</w:t>
      </w:r>
      <w:r>
        <w:rPr>
          <w:rFonts w:ascii="Tinos" w:hAnsi="Tinos" w:cs="Tinos"/>
          <w:sz w:val="22"/>
          <w:szCs w:val="22"/>
        </w:rPr>
      </w:r>
    </w:p>
    <w:p>
      <w:pPr>
        <w:pStyle w:val="1315"/>
        <w:numPr>
          <w:ilvl w:val="1"/>
          <w:numId w:val="51"/>
        </w:numPr>
        <w:ind w:left="0" w:firstLine="0"/>
        <w:jc w:val="both"/>
        <w:spacing w:line="17" w:lineRule="atLeast"/>
        <w:tabs>
          <w:tab w:val="left" w:pos="0" w:leader="none"/>
          <w:tab w:val="left" w:pos="426" w:leader="none"/>
          <w:tab w:val="left" w:pos="1276" w:leader="none"/>
        </w:tabs>
        <w:rPr>
          <w:rFonts w:ascii="Tinos" w:hAnsi="Tinos" w:cs="Tinos"/>
          <w:sz w:val="22"/>
          <w:szCs w:val="22"/>
        </w:rPr>
      </w:pPr>
      <w:r>
        <w:rPr>
          <w:rFonts w:ascii="Tinos" w:hAnsi="Tinos" w:eastAsia="Tinos" w:cs="Tinos"/>
          <w:sz w:val="22"/>
          <w:szCs w:val="22"/>
        </w:rPr>
        <w:t xml:space="preserve">Поставщик в срок с 10 (десятого) по 20 (двадцатое) число месяца, следующего за последним месяцем квартала, направляет Покупателю акт сверки расчетов в двух экземплярах. Покупатель не позднее 10 (десяти</w:t>
      </w:r>
      <w:r>
        <w:rPr>
          <w:rFonts w:ascii="Tinos" w:hAnsi="Tinos" w:eastAsia="Tinos" w:cs="Tinos"/>
          <w:sz w:val="22"/>
          <w:szCs w:val="22"/>
        </w:rPr>
        <w:t xml:space="preserve">) календарных дней с даты получения акта сверки расчетов подписывает его и второй экземпляр возвращает Поставщику. В случае, если акт сверки сформирован и направлен Покупателем, Поставщик не позднее 10 (десяти) дней с даты получения акта обязан подписать е</w:t>
      </w:r>
      <w:r>
        <w:rPr>
          <w:rFonts w:ascii="Tinos" w:hAnsi="Tinos" w:eastAsia="Tinos" w:cs="Tinos"/>
          <w:sz w:val="22"/>
          <w:szCs w:val="22"/>
        </w:rPr>
        <w:t xml:space="preserve">го и вернуть второй экземпляр Покупателю.</w:t>
      </w:r>
      <w:r>
        <w:rPr>
          <w:rFonts w:ascii="Tinos" w:hAnsi="Tinos" w:cs="Tinos"/>
          <w:sz w:val="22"/>
          <w:szCs w:val="22"/>
        </w:rPr>
      </w:r>
    </w:p>
    <w:p>
      <w:pPr>
        <w:pStyle w:val="1315"/>
        <w:numPr>
          <w:ilvl w:val="1"/>
          <w:numId w:val="51"/>
        </w:numPr>
        <w:ind w:left="0" w:firstLine="0"/>
        <w:jc w:val="both"/>
        <w:spacing w:line="17" w:lineRule="atLeast"/>
        <w:tabs>
          <w:tab w:val="left" w:pos="0" w:leader="none"/>
          <w:tab w:val="left" w:pos="426" w:leader="none"/>
          <w:tab w:val="left" w:pos="1276" w:leader="none"/>
        </w:tabs>
        <w:rPr>
          <w:rFonts w:ascii="Tinos" w:hAnsi="Tinos" w:cs="Tinos"/>
          <w:sz w:val="22"/>
          <w:szCs w:val="22"/>
        </w:rPr>
      </w:pPr>
      <w:r>
        <w:rPr>
          <w:rFonts w:ascii="Tinos" w:hAnsi="Tinos" w:eastAsia="Tinos" w:cs="Tinos"/>
          <w:sz w:val="22"/>
          <w:szCs w:val="22"/>
        </w:rPr>
        <w:t xml:space="preserve">В отношении любых денежных сумм</w:t>
      </w:r>
      <w:r>
        <w:rPr>
          <w:rFonts w:ascii="Tinos" w:hAnsi="Tinos" w:eastAsia="Tinos" w:cs="Tinos"/>
          <w:sz w:val="22"/>
          <w:szCs w:val="22"/>
        </w:rPr>
        <w:t xml:space="preserve">, подлежащих уплате Покупателем Поставщику (оплата услуг, возврат обеспечительного платежа, и т.д.), не применяются нормы о коммерческом кредите и (или) уплате процентов в качестве платы за пользование денежными средствами Поставщика.</w:t>
      </w:r>
      <w:r>
        <w:rPr>
          <w:rFonts w:ascii="Tinos" w:hAnsi="Tinos" w:cs="Tinos"/>
          <w:sz w:val="22"/>
          <w:szCs w:val="22"/>
        </w:rPr>
      </w:r>
    </w:p>
    <w:p>
      <w:pPr>
        <w:pStyle w:val="1315"/>
        <w:numPr>
          <w:ilvl w:val="1"/>
          <w:numId w:val="51"/>
        </w:numPr>
        <w:ind w:left="0" w:firstLine="0"/>
        <w:jc w:val="both"/>
        <w:spacing w:line="17" w:lineRule="atLeast"/>
        <w:tabs>
          <w:tab w:val="left" w:pos="0" w:leader="none"/>
          <w:tab w:val="left" w:pos="426" w:leader="none"/>
          <w:tab w:val="left" w:pos="1276" w:leader="none"/>
        </w:tabs>
        <w:rPr>
          <w:rFonts w:ascii="Tinos" w:hAnsi="Tinos" w:cs="Tinos"/>
          <w:sz w:val="22"/>
          <w:szCs w:val="22"/>
        </w:rPr>
      </w:pPr>
      <w:r>
        <w:rPr>
          <w:rFonts w:ascii="Tinos" w:hAnsi="Tinos" w:eastAsia="Tinos" w:cs="Tinos"/>
          <w:sz w:val="22"/>
          <w:szCs w:val="22"/>
        </w:rPr>
        <w:t xml:space="preserve">Стороны вправе примен</w:t>
      </w:r>
      <w:r>
        <w:rPr>
          <w:rFonts w:ascii="Tinos" w:hAnsi="Tinos" w:eastAsia="Tinos" w:cs="Tinos"/>
          <w:sz w:val="22"/>
          <w:szCs w:val="22"/>
        </w:rPr>
        <w:t xml:space="preserve">ять формы первичных документов в качестве Документа о приемке Товара, если их содержание будет согласовано Сторонами в приложении 5 к Договору, при условии, что форма такого первичного документа утверждена руководителем Поставщика и содержит необходимые ре</w:t>
      </w:r>
      <w:r>
        <w:rPr>
          <w:rFonts w:ascii="Tinos" w:hAnsi="Tinos" w:eastAsia="Tinos" w:cs="Tinos"/>
          <w:sz w:val="22"/>
          <w:szCs w:val="22"/>
        </w:rPr>
        <w:t xml:space="preserve">квизиты, установленные Федеральным законом от 06.12.2011 № 402-ФЗ «О бухгалтерском учете», в т.ч. наименование документа; дата составления документа; наименование экономического субъекта, составившего документ;  содержание факта хозяйственной жизни; величи</w:t>
      </w:r>
      <w:r>
        <w:rPr>
          <w:rFonts w:ascii="Tinos" w:hAnsi="Tinos" w:eastAsia="Tinos" w:cs="Tinos"/>
          <w:sz w:val="22"/>
          <w:szCs w:val="22"/>
        </w:rPr>
        <w:t xml:space="preserve">на натурального и (или) денежного измерения факта хозяйственной жизни с указанием единиц измерения; наименование должности лица (лиц), совершившего (совершивших) сделку, операцию, и ответственного (ответственных) за правильность ее оформления либо наименов</w:t>
      </w:r>
      <w:r>
        <w:rPr>
          <w:rFonts w:ascii="Tinos" w:hAnsi="Tinos" w:eastAsia="Tinos" w:cs="Tinos"/>
          <w:sz w:val="22"/>
          <w:szCs w:val="22"/>
        </w:rPr>
        <w:t xml:space="preserve">ание должности лица (лиц), ответственного (ответственных) за правильность оформления свершившегося события, дату и номер Договора.</w:t>
      </w:r>
      <w:r>
        <w:rPr>
          <w:rFonts w:ascii="Tinos" w:hAnsi="Tinos" w:cs="Tinos"/>
          <w:sz w:val="22"/>
          <w:szCs w:val="22"/>
        </w:rPr>
      </w:r>
    </w:p>
    <w:p>
      <w:pPr>
        <w:pStyle w:val="1315"/>
        <w:numPr>
          <w:ilvl w:val="1"/>
          <w:numId w:val="51"/>
        </w:numPr>
        <w:ind w:left="0" w:firstLine="0"/>
        <w:jc w:val="both"/>
        <w:spacing w:line="17" w:lineRule="atLeast"/>
        <w:tabs>
          <w:tab w:val="left" w:pos="0" w:leader="none"/>
          <w:tab w:val="left" w:pos="426" w:leader="none"/>
          <w:tab w:val="left" w:pos="1276" w:leader="none"/>
        </w:tabs>
        <w:rPr>
          <w:rFonts w:ascii="Tinos" w:hAnsi="Tinos" w:cs="Tinos"/>
          <w:sz w:val="22"/>
          <w:szCs w:val="22"/>
        </w:rPr>
      </w:pPr>
      <w:r>
        <w:rPr>
          <w:rFonts w:ascii="Tinos" w:hAnsi="Tinos" w:eastAsia="Tinos" w:cs="Tinos"/>
          <w:sz w:val="22"/>
          <w:szCs w:val="22"/>
        </w:rPr>
        <w:t xml:space="preserve">Поставщик оформляет и направляет Покупателю счет-фактуру в соответствии со ст. 169 НК РФ и Правил, утвержденных Постановление</w:t>
      </w:r>
      <w:r>
        <w:rPr>
          <w:rFonts w:ascii="Tinos" w:hAnsi="Tinos" w:eastAsia="Tinos" w:cs="Tinos"/>
          <w:sz w:val="22"/>
          <w:szCs w:val="22"/>
        </w:rPr>
        <w:t xml:space="preserve">м Правительства РФ № 1137 от 26.12.2011г.</w:t>
      </w:r>
      <w:r>
        <w:rPr>
          <w:rFonts w:ascii="Tinos" w:hAnsi="Tinos" w:cs="Tinos"/>
          <w:sz w:val="22"/>
          <w:szCs w:val="22"/>
        </w:rPr>
      </w:r>
    </w:p>
    <w:p>
      <w:pPr>
        <w:pStyle w:val="1315"/>
        <w:ind w:left="0"/>
        <w:jc w:val="both"/>
        <w:spacing w:line="17" w:lineRule="atLeast"/>
        <w:tabs>
          <w:tab w:val="left" w:pos="0" w:leader="none"/>
          <w:tab w:val="left" w:pos="567" w:leader="none"/>
          <w:tab w:val="left" w:pos="1276" w:leader="none"/>
        </w:tabs>
        <w:rPr>
          <w:rFonts w:ascii="Tinos" w:hAnsi="Tinos" w:cs="Tinos"/>
          <w:sz w:val="22"/>
          <w:szCs w:val="22"/>
          <w:highlight w:val="red"/>
        </w:rPr>
      </w:pPr>
      <w:r>
        <w:rPr>
          <w:rFonts w:ascii="Tinos" w:hAnsi="Tinos" w:cs="Tinos"/>
          <w:sz w:val="22"/>
          <w:szCs w:val="22"/>
          <w:highlight w:val="red"/>
        </w:rPr>
      </w:r>
      <w:r>
        <w:rPr>
          <w:rFonts w:ascii="Tinos" w:hAnsi="Tinos" w:cs="Tinos"/>
          <w:sz w:val="22"/>
          <w:szCs w:val="22"/>
          <w:highlight w:val="red"/>
        </w:rPr>
      </w:r>
    </w:p>
    <w:p>
      <w:pPr>
        <w:pStyle w:val="1315"/>
        <w:ind w:left="0"/>
        <w:jc w:val="both"/>
        <w:spacing w:line="17" w:lineRule="atLeast"/>
        <w:tabs>
          <w:tab w:val="left" w:pos="0" w:leader="none"/>
          <w:tab w:val="left" w:pos="567" w:leader="none"/>
          <w:tab w:val="left" w:pos="1276" w:leader="none"/>
        </w:tabs>
        <w:rPr>
          <w:rFonts w:ascii="Tinos" w:hAnsi="Tinos" w:cs="Tinos"/>
          <w:sz w:val="22"/>
          <w:szCs w:val="22"/>
          <w:highlight w:val="red"/>
        </w:rPr>
      </w:pPr>
      <w:r>
        <w:rPr>
          <w:rFonts w:ascii="Tinos" w:hAnsi="Tinos" w:cs="Tinos"/>
          <w:sz w:val="22"/>
          <w:szCs w:val="22"/>
          <w:highlight w:val="red"/>
        </w:rPr>
      </w:r>
      <w:r>
        <w:rPr>
          <w:rFonts w:ascii="Tinos" w:hAnsi="Tinos" w:cs="Tinos"/>
          <w:sz w:val="22"/>
          <w:szCs w:val="22"/>
          <w:highlight w:val="red"/>
        </w:rPr>
      </w:r>
    </w:p>
    <w:p>
      <w:pPr>
        <w:pStyle w:val="1433"/>
        <w:numPr>
          <w:ilvl w:val="0"/>
          <w:numId w:val="51"/>
        </w:numPr>
        <w:ind w:left="0" w:right="1238" w:firstLine="0"/>
        <w:jc w:val="center"/>
        <w:spacing w:line="17" w:lineRule="atLeast"/>
        <w:widowControl w:val="off"/>
        <w:tabs>
          <w:tab w:val="left" w:pos="425" w:leader="none"/>
        </w:tabs>
        <w:rPr>
          <w:rFonts w:ascii="Tinos" w:hAnsi="Tinos" w:cs="Tinos"/>
          <w:b/>
        </w:rPr>
      </w:pPr>
      <w:r>
        <w:rPr>
          <w:rFonts w:ascii="Tinos" w:hAnsi="Tinos" w:eastAsia="Tinos" w:cs="Tinos"/>
          <w:b/>
        </w:rPr>
        <w:t xml:space="preserve">Права и обязанности сторон</w:t>
      </w:r>
      <w:r>
        <w:rPr>
          <w:rFonts w:ascii="Tinos" w:hAnsi="Tinos" w:cs="Tinos"/>
          <w:b/>
        </w:rPr>
      </w:r>
    </w:p>
    <w:p>
      <w:pPr>
        <w:pStyle w:val="1315"/>
        <w:numPr>
          <w:ilvl w:val="1"/>
          <w:numId w:val="51"/>
        </w:numPr>
        <w:ind w:left="0" w:firstLine="0"/>
        <w:jc w:val="both"/>
        <w:spacing w:line="17" w:lineRule="atLeast"/>
        <w:tabs>
          <w:tab w:val="left" w:pos="0" w:leader="none"/>
          <w:tab w:val="left" w:pos="426" w:leader="none"/>
        </w:tabs>
        <w:rPr>
          <w:rFonts w:ascii="Tinos" w:hAnsi="Tinos" w:cs="Tinos"/>
          <w:sz w:val="22"/>
          <w:szCs w:val="22"/>
        </w:rPr>
      </w:pPr>
      <w:r>
        <w:rPr>
          <w:rFonts w:ascii="Tinos" w:hAnsi="Tinos" w:eastAsia="Tinos" w:cs="Tinos"/>
          <w:sz w:val="22"/>
          <w:szCs w:val="22"/>
        </w:rPr>
        <w:t xml:space="preserve">Поставщик обязан:</w:t>
      </w:r>
      <w:r>
        <w:rPr>
          <w:rFonts w:ascii="Tinos" w:hAnsi="Tinos" w:cs="Tinos"/>
          <w:sz w:val="22"/>
          <w:szCs w:val="22"/>
        </w:rPr>
      </w:r>
    </w:p>
    <w:p>
      <w:pPr>
        <w:pStyle w:val="1433"/>
        <w:numPr>
          <w:ilvl w:val="2"/>
          <w:numId w:val="51"/>
        </w:numPr>
        <w:ind w:left="0" w:right="-1" w:firstLine="0"/>
        <w:jc w:val="both"/>
        <w:spacing w:line="17" w:lineRule="atLeast"/>
        <w:widowControl w:val="off"/>
        <w:tabs>
          <w:tab w:val="left" w:pos="567" w:leader="none"/>
        </w:tabs>
        <w:rPr>
          <w:rFonts w:ascii="Tinos" w:hAnsi="Tinos" w:cs="Tinos"/>
        </w:rPr>
      </w:pPr>
      <w:r>
        <w:rPr>
          <w:rFonts w:ascii="Tinos" w:hAnsi="Tinos" w:eastAsia="Tinos" w:cs="Tinos"/>
        </w:rPr>
        <w:t xml:space="preserve">Получать письменное согласие Покупателя на уступку, передачу (в том числе в залог), перепоручение прав (требований) и обязанностей Поставщика по Договору третьему лицу</w:t>
      </w:r>
      <w:r>
        <w:rPr>
          <w:rFonts w:ascii="Tinos" w:hAnsi="Tinos" w:eastAsia="Tinos" w:cs="Tinos"/>
        </w:rPr>
        <w:t xml:space="preserve">, за исключением случаев, указанных в Договоре.</w:t>
      </w:r>
      <w:r>
        <w:rPr>
          <w:rFonts w:ascii="Tinos" w:hAnsi="Tinos" w:cs="Tinos"/>
        </w:rPr>
      </w:r>
    </w:p>
    <w:p>
      <w:pPr>
        <w:pStyle w:val="1433"/>
        <w:numPr>
          <w:ilvl w:val="2"/>
          <w:numId w:val="51"/>
        </w:numPr>
        <w:ind w:left="0" w:right="-1" w:firstLine="0"/>
        <w:jc w:val="both"/>
        <w:spacing w:line="17" w:lineRule="atLeast"/>
        <w:widowControl w:val="off"/>
        <w:tabs>
          <w:tab w:val="left" w:pos="567" w:leader="none"/>
        </w:tabs>
        <w:rPr>
          <w:rFonts w:ascii="Tinos" w:hAnsi="Tinos" w:cs="Tinos"/>
          <w:bCs/>
        </w:rPr>
      </w:pPr>
      <w:r>
        <w:rPr>
          <w:rFonts w:ascii="Tinos" w:hAnsi="Tinos" w:eastAsia="Tinos" w:cs="Tinos"/>
          <w:bCs/>
        </w:rPr>
        <w:t xml:space="preserve">Представлять Покупателю:</w:t>
      </w:r>
      <w:r>
        <w:rPr>
          <w:rFonts w:ascii="Tinos" w:hAnsi="Tinos" w:cs="Tinos"/>
          <w:bCs/>
        </w:rPr>
      </w:r>
    </w:p>
    <w:p>
      <w:pPr>
        <w:jc w:val="both"/>
        <w:spacing w:after="0" w:line="17" w:lineRule="atLeast"/>
        <w:widowControl w:val="off"/>
        <w:tabs>
          <w:tab w:val="left" w:pos="567" w:leader="none"/>
        </w:tabs>
        <w:rPr>
          <w:rFonts w:ascii="Tinos" w:hAnsi="Tinos" w:cs="Tinos"/>
          <w:bCs/>
        </w:rPr>
      </w:pPr>
      <w:r>
        <w:rPr>
          <w:rFonts w:ascii="Tinos" w:hAnsi="Tinos" w:eastAsia="Tinos" w:cs="Tinos"/>
          <w:bCs/>
        </w:rPr>
        <w:t xml:space="preserve">- информацию о полной цепочке собственников Поставщика, включая конечных бенефициаров, а также о составе исполнительных органов Поставщика с предоставлением копий, подтверждающих данн</w:t>
      </w:r>
      <w:r>
        <w:rPr>
          <w:rFonts w:ascii="Tinos" w:hAnsi="Tinos" w:eastAsia="Tinos" w:cs="Tinos"/>
          <w:bCs/>
        </w:rPr>
        <w:t xml:space="preserve">ую информацию документов (учредительные документы, протоколы органов управления, выписки из ЕГРЮЛ, реестра акционеров, копии паспортов граждан и т.п.), по форме, указанной в приложении № 3 к Договору, </w:t>
      </w:r>
      <w:r>
        <w:rPr>
          <w:rFonts w:ascii="Tinos" w:hAnsi="Tinos" w:eastAsia="Tinos" w:cs="Tinos"/>
        </w:rPr>
        <w:t xml:space="preserve">а также в формате Excel и PDF на адрес электронной почт</w:t>
      </w:r>
      <w:r>
        <w:rPr>
          <w:rFonts w:ascii="Tinos" w:hAnsi="Tinos" w:eastAsia="Tinos" w:cs="Tinos"/>
        </w:rPr>
        <w:t xml:space="preserve">ы </w:t>
      </w:r>
      <w:hyperlink r:id="rId14" w:tooltip="mailto:EvtifevaDV@tv.rosseti-sib.ru" w:history="1">
        <w:r>
          <w:rPr>
            <w:rFonts w:ascii="Tinos" w:hAnsi="Tinos" w:eastAsia="Tinos" w:cs="Tinos"/>
            <w:color w:val="0000ff"/>
            <w:u w:val="single"/>
            <w:lang w:eastAsia="ru-RU"/>
          </w:rPr>
          <w:t xml:space="preserve">EvtifevaDV@tv.rosseti-sib.ru</w:t>
        </w:r>
      </w:hyperlink>
      <w:r>
        <w:rPr>
          <w:rFonts w:ascii="Tinos" w:hAnsi="Tinos" w:eastAsia="Tinos" w:cs="Tinos"/>
          <w:bCs/>
        </w:rPr>
        <w:t xml:space="preserve">;</w:t>
      </w:r>
      <w:r>
        <w:rPr>
          <w:rFonts w:ascii="Tinos" w:hAnsi="Tinos" w:cs="Tinos"/>
          <w:bCs/>
        </w:rPr>
      </w:r>
    </w:p>
    <w:p>
      <w:pPr>
        <w:jc w:val="both"/>
        <w:spacing w:after="0" w:line="17" w:lineRule="atLeast"/>
        <w:widowControl w:val="off"/>
        <w:tabs>
          <w:tab w:val="left" w:pos="567" w:leader="none"/>
        </w:tabs>
        <w:rPr>
          <w:rFonts w:ascii="Tinos" w:hAnsi="Tinos" w:cs="Tinos"/>
          <w:bCs/>
        </w:rPr>
      </w:pPr>
      <w:r>
        <w:rPr>
          <w:rFonts w:ascii="Tinos" w:hAnsi="Tinos" w:eastAsia="Tinos" w:cs="Tinos"/>
          <w:bCs/>
        </w:rPr>
        <w:t xml:space="preserve">- информацию о привлечении Поставщиком к исполнению своих обязательств по Договору третьих лиц до заключения договора с указанными </w:t>
      </w:r>
      <w:r>
        <w:rPr>
          <w:rFonts w:ascii="Tinos" w:hAnsi="Tinos" w:eastAsia="Tinos" w:cs="Tinos"/>
          <w:bCs/>
        </w:rPr>
        <w:t xml:space="preserve">лицами, включая предоставление сведений в отношении всей цепочки собственников третьих лиц, привлекаемых Поставщиком для исполнения своих обязательств по Договору, в том числе конечных бенефициаров (вместе </w:t>
      </w:r>
      <w:r>
        <w:rPr>
          <w:rFonts w:ascii="Tinos" w:hAnsi="Tinos" w:eastAsia="Tinos" w:cs="Tinos"/>
          <w:bCs/>
          <w:spacing w:val="-4"/>
        </w:rPr>
        <w:t xml:space="preserve">с копиями подтверждающих документов), по форме, ук</w:t>
      </w:r>
      <w:r>
        <w:rPr>
          <w:rFonts w:ascii="Tinos" w:hAnsi="Tinos" w:eastAsia="Tinos" w:cs="Tinos"/>
          <w:bCs/>
          <w:spacing w:val="-4"/>
        </w:rPr>
        <w:t xml:space="preserve">азанной в приложении № 3</w:t>
      </w:r>
      <w:r>
        <w:rPr>
          <w:rFonts w:ascii="Tinos" w:hAnsi="Tinos" w:eastAsia="Tinos" w:cs="Tinos"/>
          <w:bCs/>
        </w:rPr>
        <w:t xml:space="preserve"> к Договору, </w:t>
      </w:r>
      <w:r>
        <w:rPr>
          <w:rFonts w:ascii="Tinos" w:hAnsi="Tinos" w:eastAsia="Tinos" w:cs="Tinos"/>
        </w:rPr>
        <w:t xml:space="preserve">а также в формате Excel и PDF на адрес электронной почты </w:t>
      </w:r>
      <w:hyperlink r:id="rId15" w:tooltip="mailto:EvtifevaDV@tv.rosseti-sib.ru" w:history="1">
        <w:r>
          <w:rPr>
            <w:rFonts w:ascii="Tinos" w:hAnsi="Tinos" w:eastAsia="Tinos" w:cs="Tinos"/>
            <w:color w:val="0000ff"/>
            <w:u w:val="single"/>
            <w:lang w:eastAsia="ru-RU"/>
          </w:rPr>
          <w:t xml:space="preserve">EvtifevaDV@tv.rosseti-sib.ru</w:t>
        </w:r>
      </w:hyperlink>
      <w:r>
        <w:rPr>
          <w:rFonts w:ascii="Tinos" w:hAnsi="Tinos" w:eastAsia="Tinos" w:cs="Tinos"/>
          <w:bCs/>
        </w:rPr>
        <w:t xml:space="preserve">;</w:t>
      </w:r>
      <w:r>
        <w:rPr>
          <w:rFonts w:ascii="Tinos" w:hAnsi="Tinos" w:cs="Tinos"/>
          <w:bCs/>
        </w:rPr>
      </w:r>
    </w:p>
    <w:p>
      <w:pPr>
        <w:jc w:val="both"/>
        <w:spacing w:after="0" w:line="17" w:lineRule="atLeast"/>
        <w:widowControl w:val="off"/>
        <w:rPr>
          <w:rFonts w:ascii="Tinos" w:hAnsi="Tinos" w:cs="Tinos"/>
          <w:bCs/>
        </w:rPr>
      </w:pPr>
      <w:r>
        <w:rPr>
          <w:rFonts w:ascii="Tinos" w:hAnsi="Tinos" w:eastAsia="Tinos" w:cs="Tinos"/>
          <w:bCs/>
        </w:rPr>
        <w:t xml:space="preserve">- информацию об изменении состава (по сравнению с существовавшим на дату заключения Договора) собственников Поставщика, третьих лиц, привлеченных Поставщиком к исполнению своих обязательств по Договору (состава участников; в отношении участников, являющихс</w:t>
      </w:r>
      <w:r>
        <w:rPr>
          <w:rFonts w:ascii="Tinos" w:hAnsi="Tinos" w:eastAsia="Tinos" w:cs="Tinos"/>
          <w:bCs/>
        </w:rPr>
        <w:t xml:space="preserve">я юридическими лицами, - состава их участников и т.д.), включая бенефициаров (в том числе конечных), а также состава исполнительных органов Поставщика, третьих лиц, привлеченных Поставщиком к исполнению своих обязательств по Договору. Информация (вместе с </w:t>
      </w:r>
      <w:r>
        <w:rPr>
          <w:rFonts w:ascii="Tinos" w:hAnsi="Tinos" w:eastAsia="Tinos" w:cs="Tinos"/>
          <w:bCs/>
        </w:rPr>
        <w:t xml:space="preserve">копиями подтверждающих документов) представляется Покупателю по форме, указанной в приложении № 3 к Договору, не позднее 3 (трех) календарных дней с даты наступления соответствующего события (юридического факта) способом, позволяющим подтвердить дату получ</w:t>
      </w:r>
      <w:r>
        <w:rPr>
          <w:rFonts w:ascii="Tinos" w:hAnsi="Tinos" w:eastAsia="Tinos" w:cs="Tinos"/>
          <w:bCs/>
        </w:rPr>
        <w:t xml:space="preserve">ения. </w:t>
      </w:r>
      <w:r>
        <w:rPr>
          <w:rFonts w:ascii="Tinos" w:hAnsi="Tinos" w:cs="Tinos"/>
          <w:bCs/>
        </w:rPr>
      </w:r>
    </w:p>
    <w:p>
      <w:pPr>
        <w:jc w:val="both"/>
        <w:spacing w:after="0" w:line="17" w:lineRule="atLeast"/>
        <w:widowControl w:val="off"/>
        <w:rPr>
          <w:rFonts w:ascii="Tinos" w:hAnsi="Tinos" w:cs="Tinos"/>
          <w:bCs/>
        </w:rPr>
      </w:pPr>
      <w:r>
        <w:rPr>
          <w:rFonts w:ascii="Tinos" w:hAnsi="Tinos" w:eastAsia="Tinos" w:cs="Tinos"/>
          <w:bCs/>
        </w:rPr>
        <w:t xml:space="preserve">В случае если информация о полной цепочке собственников Поставщика, третьего лица, привлеченного Поставщиком к исполнению своих обязательств по Договору, содержит персональные данные, Поставщик обеспечивает получение и направление одновременно с ука</w:t>
      </w:r>
      <w:r>
        <w:rPr>
          <w:rFonts w:ascii="Tinos" w:hAnsi="Tinos" w:eastAsia="Tinos" w:cs="Tinos"/>
          <w:bCs/>
        </w:rPr>
        <w:t xml:space="preserve">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 4 к Договору.</w:t>
      </w:r>
      <w:r>
        <w:rPr>
          <w:rFonts w:ascii="Tinos" w:hAnsi="Tinos" w:cs="Tinos"/>
          <w:bCs/>
        </w:rPr>
      </w:r>
    </w:p>
    <w:p>
      <w:pPr>
        <w:pStyle w:val="1433"/>
        <w:numPr>
          <w:ilvl w:val="2"/>
          <w:numId w:val="51"/>
        </w:numPr>
        <w:ind w:left="0" w:right="-1" w:firstLine="0"/>
        <w:jc w:val="both"/>
        <w:spacing w:line="17" w:lineRule="atLeast"/>
        <w:widowControl w:val="off"/>
        <w:tabs>
          <w:tab w:val="num" w:pos="567" w:leader="none"/>
        </w:tabs>
        <w:rPr>
          <w:rFonts w:ascii="Tinos" w:hAnsi="Tinos" w:cs="Tinos"/>
          <w:bCs/>
        </w:rPr>
      </w:pPr>
      <w:r>
        <w:rPr>
          <w:rFonts w:ascii="Tinos" w:hAnsi="Tinos" w:eastAsia="Tinos" w:cs="Tinos"/>
          <w:bCs/>
        </w:rPr>
        <w:t xml:space="preserve">Предоставить обеспечение исполнения обязательств по Договору (в т.ч. обеспечения возврата аванса, исполнения гарантийных обязательств) в соответствии с Приложением 9 к настоящему Договору</w:t>
      </w:r>
      <w:r>
        <w:rPr>
          <w:rStyle w:val="1333"/>
          <w:rFonts w:ascii="Tinos" w:hAnsi="Tinos" w:eastAsia="Tinos" w:cs="Tinos"/>
        </w:rPr>
        <w:footnoteReference w:id="4"/>
      </w:r>
      <w:r>
        <w:rPr>
          <w:rFonts w:ascii="Tinos" w:hAnsi="Tinos" w:eastAsia="Tinos" w:cs="Tinos"/>
        </w:rPr>
        <w:t xml:space="preserve">.</w:t>
      </w:r>
      <w:r>
        <w:rPr>
          <w:rFonts w:ascii="Tinos" w:hAnsi="Tinos" w:cs="Tinos"/>
          <w:bCs/>
        </w:rPr>
      </w:r>
    </w:p>
    <w:p>
      <w:pPr>
        <w:pStyle w:val="1433"/>
        <w:numPr>
          <w:ilvl w:val="2"/>
          <w:numId w:val="51"/>
        </w:numPr>
        <w:ind w:left="0" w:right="-1" w:firstLine="0"/>
        <w:jc w:val="both"/>
        <w:spacing w:line="17" w:lineRule="atLeast"/>
        <w:widowControl w:val="off"/>
        <w:tabs>
          <w:tab w:val="num" w:pos="567" w:leader="none"/>
        </w:tabs>
        <w:rPr>
          <w:rFonts w:ascii="Tinos" w:hAnsi="Tinos" w:cs="Tinos"/>
          <w:bCs/>
        </w:rPr>
      </w:pPr>
      <w:r>
        <w:rPr>
          <w:rFonts w:ascii="Tinos" w:hAnsi="Tinos" w:eastAsia="Tinos" w:cs="Tinos"/>
          <w:bCs/>
        </w:rPr>
        <w:t xml:space="preserve">Передать Покупателю вместе с Товаром все надлежащим образом оформл</w:t>
      </w:r>
      <w:r>
        <w:rPr>
          <w:rFonts w:ascii="Tinos" w:hAnsi="Tinos" w:eastAsia="Tinos" w:cs="Tinos"/>
          <w:bCs/>
        </w:rPr>
        <w:t xml:space="preserve">енные документы на Товар, в том числе документы, подтверждающие страну происхождения Товара.</w:t>
      </w:r>
      <w:r>
        <w:rPr>
          <w:rFonts w:ascii="Tinos" w:hAnsi="Tinos" w:cs="Tinos"/>
          <w:bCs/>
        </w:rPr>
      </w:r>
    </w:p>
    <w:p>
      <w:pPr>
        <w:pStyle w:val="1315"/>
        <w:numPr>
          <w:ilvl w:val="2"/>
          <w:numId w:val="51"/>
        </w:numPr>
        <w:ind w:left="0" w:firstLine="0"/>
        <w:spacing w:line="17" w:lineRule="atLeast"/>
        <w:rPr>
          <w:rFonts w:ascii="Tinos" w:hAnsi="Tinos" w:cs="Tinos"/>
          <w:bCs/>
          <w:sz w:val="22"/>
          <w:szCs w:val="22"/>
        </w:rPr>
      </w:pPr>
      <w:r>
        <w:rPr>
          <w:rFonts w:ascii="Tinos" w:hAnsi="Tinos" w:eastAsia="Tinos" w:cs="Tinos"/>
          <w:bCs/>
          <w:sz w:val="22"/>
          <w:szCs w:val="22"/>
          <w:lang w:eastAsia="en-US"/>
        </w:rPr>
        <w:t xml:space="preserve">Поставщик не вправе передавать свои права и обязанности по настоящему Договору, в том числе в залог, без предварительного письменного согласия Покупателя.</w:t>
      </w:r>
      <w:r>
        <w:rPr>
          <w:rFonts w:ascii="Tinos" w:hAnsi="Tinos" w:cs="Tinos"/>
          <w:bCs/>
          <w:sz w:val="22"/>
          <w:szCs w:val="22"/>
        </w:rPr>
      </w:r>
    </w:p>
    <w:p>
      <w:pPr>
        <w:pStyle w:val="1433"/>
        <w:numPr>
          <w:ilvl w:val="2"/>
          <w:numId w:val="51"/>
        </w:numPr>
        <w:ind w:left="0" w:right="-1" w:firstLine="0"/>
        <w:jc w:val="both"/>
        <w:spacing w:line="17" w:lineRule="atLeast"/>
        <w:widowControl w:val="off"/>
        <w:tabs>
          <w:tab w:val="num" w:pos="567" w:leader="none"/>
        </w:tabs>
        <w:rPr>
          <w:rFonts w:ascii="Tinos" w:hAnsi="Tinos" w:cs="Tinos"/>
        </w:rPr>
      </w:pPr>
      <w:r>
        <w:rPr>
          <w:rFonts w:ascii="Tinos" w:hAnsi="Tinos" w:eastAsia="Tinos" w:cs="Tinos"/>
        </w:rPr>
        <w:t xml:space="preserve">Поставщи</w:t>
      </w:r>
      <w:r>
        <w:rPr>
          <w:rFonts w:ascii="Tinos" w:hAnsi="Tinos" w:eastAsia="Tinos" w:cs="Tinos"/>
        </w:rPr>
        <w:t xml:space="preserve">к обязуется привлекать к исполнению договора Субпоставщиков (соисполнителей) из числа субъектов малого и среднего предпринимательства, в случае привлечения его к исполнению Договора, заключенного по результатам закупки, в отношении участников которых Покуп</w:t>
      </w:r>
      <w:r>
        <w:rPr>
          <w:rFonts w:ascii="Tinos" w:hAnsi="Tinos" w:eastAsia="Tinos" w:cs="Tinos"/>
        </w:rPr>
        <w:t xml:space="preserve">ателем устанавливается требование в закупочной документации о привлечении к исполнению Договора Субпоставщиков (соисполнителей) из числа субъектов малого и среднего предпринимательства.</w:t>
      </w:r>
      <w:r>
        <w:rPr>
          <w:rFonts w:ascii="Tinos" w:hAnsi="Tinos" w:cs="Tinos"/>
        </w:rPr>
      </w:r>
    </w:p>
    <w:p>
      <w:pPr>
        <w:pStyle w:val="1433"/>
        <w:numPr>
          <w:ilvl w:val="2"/>
          <w:numId w:val="51"/>
        </w:numPr>
        <w:ind w:left="0" w:right="-1" w:firstLine="0"/>
        <w:jc w:val="both"/>
        <w:spacing w:line="17" w:lineRule="atLeast"/>
        <w:widowControl w:val="off"/>
        <w:tabs>
          <w:tab w:val="num" w:pos="567" w:leader="none"/>
        </w:tabs>
        <w:rPr>
          <w:rFonts w:ascii="Tinos" w:hAnsi="Tinos" w:cs="Tinos"/>
        </w:rPr>
      </w:pPr>
      <w:r>
        <w:rPr>
          <w:rFonts w:ascii="Tinos" w:hAnsi="Tinos" w:eastAsia="Tinos" w:cs="Tinos"/>
        </w:rPr>
        <w:t xml:space="preserve">Поставщик при поставке товаров, подлежащих прослеживаемости в соответс</w:t>
      </w:r>
      <w:r>
        <w:rPr>
          <w:rFonts w:ascii="Tinos" w:hAnsi="Tinos" w:eastAsia="Tinos" w:cs="Tinos"/>
        </w:rPr>
        <w:t xml:space="preserve">твии с Постановлением Правительства РФ от 01.07.2021 № 1108 «Об утверждении Положения о национальной системе прослеживаемости товаров», обязуется обеспечить направление счетов-фактур, универсальных передаточных документов, товарных накладных, содержащих ре</w:t>
      </w:r>
      <w:r>
        <w:rPr>
          <w:rFonts w:ascii="Tinos" w:hAnsi="Tinos" w:eastAsia="Tinos" w:cs="Tinos"/>
        </w:rPr>
        <w:t xml:space="preserve">квизиты прослеживаемости, в электронной форме по телекоммуникационным каналам связи через оператора электронного документооборота, являющегося российской организацией и соответствующего требованиям, утвержденным федеральным органом исполнительной власти, у</w:t>
      </w:r>
      <w:r>
        <w:rPr>
          <w:rFonts w:ascii="Tinos" w:hAnsi="Tinos" w:eastAsia="Tinos" w:cs="Tinos"/>
        </w:rPr>
        <w:t xml:space="preserve">полномоченным по контролю и надзору в области налогов и сборов.</w:t>
      </w:r>
      <w:r>
        <w:rPr>
          <w:rFonts w:ascii="Tinos" w:hAnsi="Tinos" w:cs="Tinos"/>
        </w:rPr>
      </w:r>
    </w:p>
    <w:p>
      <w:pPr>
        <w:pStyle w:val="1315"/>
        <w:numPr>
          <w:ilvl w:val="1"/>
          <w:numId w:val="51"/>
        </w:numPr>
        <w:jc w:val="both"/>
        <w:spacing w:line="17" w:lineRule="atLeast"/>
        <w:tabs>
          <w:tab w:val="left" w:pos="0" w:leader="none"/>
          <w:tab w:val="left" w:pos="567" w:leader="none"/>
        </w:tabs>
        <w:rPr>
          <w:rFonts w:ascii="Tinos" w:hAnsi="Tinos" w:cs="Tinos"/>
          <w:bCs/>
          <w:sz w:val="22"/>
          <w:szCs w:val="22"/>
        </w:rPr>
      </w:pPr>
      <w:r>
        <w:rPr>
          <w:rFonts w:ascii="Tinos" w:hAnsi="Tinos" w:eastAsia="Tinos" w:cs="Tinos"/>
          <w:bCs/>
          <w:sz w:val="22"/>
          <w:szCs w:val="22"/>
        </w:rPr>
        <w:t xml:space="preserve">Поставщик имеет право:</w:t>
      </w:r>
      <w:r>
        <w:rPr>
          <w:rFonts w:ascii="Tinos" w:hAnsi="Tinos" w:cs="Tinos"/>
          <w:bCs/>
          <w:sz w:val="22"/>
          <w:szCs w:val="22"/>
        </w:rPr>
      </w:r>
    </w:p>
    <w:p>
      <w:pPr>
        <w:pStyle w:val="1433"/>
        <w:numPr>
          <w:ilvl w:val="2"/>
          <w:numId w:val="51"/>
        </w:numPr>
        <w:ind w:left="0" w:firstLine="0"/>
        <w:jc w:val="both"/>
        <w:spacing w:line="17" w:lineRule="atLeast"/>
        <w:rPr>
          <w:rFonts w:ascii="Tinos" w:hAnsi="Tinos" w:cs="Tinos"/>
        </w:rPr>
        <w:pBdr>
          <w:left w:val="single" w:color="000000" w:sz="4" w:space="0"/>
        </w:pBdr>
      </w:pPr>
      <w:r>
        <w:rPr>
          <w:rStyle w:val="1333"/>
          <w:rFonts w:ascii="Tinos" w:hAnsi="Tinos" w:eastAsia="Tinos" w:cs="Tinos"/>
          <w:b/>
        </w:rPr>
        <w:footnoteReference w:id="5"/>
      </w:r>
      <w:r>
        <w:rPr>
          <w:rFonts w:ascii="Tinos" w:hAnsi="Tinos" w:eastAsia="Tinos" w:cs="Tinos"/>
        </w:rPr>
        <w:t xml:space="preserve">После выполнения обязательств по Договору Поставщик вправе переуступить право требования оплаты по выполненным договорным обязательствам в пользу иного лица (финансовог</w:t>
      </w:r>
      <w:r>
        <w:rPr>
          <w:rFonts w:ascii="Tinos" w:hAnsi="Tinos" w:eastAsia="Tinos" w:cs="Tinos"/>
        </w:rPr>
        <w:t xml:space="preserve">о агента). При этом </w:t>
      </w:r>
      <w:r>
        <w:rPr>
          <w:rFonts w:ascii="Tinos" w:hAnsi="Tinos" w:eastAsia="Tinos" w:cs="Tinos"/>
        </w:rPr>
        <w:t xml:space="preserve">Поставщика обеспечивает представление в адрес Покупателя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Pr>
          <w:rFonts w:ascii="Tinos" w:hAnsi="Tinos" w:cs="Tinos"/>
        </w:rPr>
      </w:r>
    </w:p>
    <w:p>
      <w:pPr>
        <w:pStyle w:val="1433"/>
        <w:ind w:firstLine="426"/>
        <w:jc w:val="both"/>
        <w:spacing w:line="17" w:lineRule="atLeast"/>
        <w:rPr>
          <w:rFonts w:ascii="Tinos" w:hAnsi="Tinos" w:cs="Tinos"/>
        </w:rPr>
        <w:pBdr>
          <w:left w:val="single" w:color="000000" w:sz="4" w:space="0"/>
        </w:pBdr>
      </w:pPr>
      <w:r>
        <w:rPr>
          <w:rFonts w:ascii="Tinos" w:hAnsi="Tinos" w:eastAsia="Tinos" w:cs="Tinos"/>
        </w:rPr>
        <w:t xml:space="preserve">Соглашение межд</w:t>
      </w:r>
      <w:r>
        <w:rPr>
          <w:rFonts w:ascii="Tinos" w:hAnsi="Tinos" w:eastAsia="Tinos" w:cs="Tinos"/>
        </w:rPr>
        <w:t xml:space="preserve">у Финансовым агентом (Фактором) и Поставщиком по переуступке права денежного требования по договору с Обществом (Покупателем) должно содержать обязательство исполнения Поставщиком регрессных требований Фактора (факторинг с правом регресса).</w:t>
      </w:r>
      <w:r>
        <w:rPr>
          <w:rFonts w:ascii="Tinos" w:hAnsi="Tinos" w:cs="Tinos"/>
        </w:rPr>
      </w:r>
    </w:p>
    <w:p>
      <w:pPr>
        <w:ind w:firstLine="426"/>
        <w:jc w:val="both"/>
        <w:spacing w:after="0" w:line="17" w:lineRule="atLeast"/>
        <w:tabs>
          <w:tab w:val="left" w:pos="0" w:leader="none"/>
          <w:tab w:val="left" w:pos="1276" w:leader="none"/>
        </w:tabs>
        <w:rPr>
          <w:rFonts w:ascii="Tinos" w:hAnsi="Tinos" w:cs="Tinos"/>
          <w:bCs/>
        </w:rPr>
        <w:pBdr>
          <w:left w:val="single" w:color="000000" w:sz="4" w:space="0"/>
        </w:pBdr>
      </w:pPr>
      <w:r>
        <w:rPr>
          <w:rFonts w:ascii="Tinos" w:hAnsi="Tinos" w:eastAsia="Tinos" w:cs="Tinos"/>
        </w:rPr>
        <w:t xml:space="preserve">Куратор договор</w:t>
      </w:r>
      <w:r>
        <w:rPr>
          <w:rFonts w:ascii="Tinos" w:hAnsi="Tinos" w:eastAsia="Tinos" w:cs="Tinos"/>
        </w:rPr>
        <w:t xml:space="preserve">а в течение 1 (одного) рабочего дня с даты получения оригинала уведомления об уступке обеспечивает направление сканированной копии уведомления и договора, права по которому подлежат переуступке (включая все дополнительные соглашения и приложения к нему), в</w:t>
      </w:r>
      <w:r>
        <w:rPr>
          <w:rFonts w:ascii="Tinos" w:hAnsi="Tinos" w:eastAsia="Tinos" w:cs="Tinos"/>
        </w:rPr>
        <w:t xml:space="preserve"> Департамент финансов ПАО «Россети» на адрес электронной почты </w:t>
      </w:r>
      <w:hyperlink r:id="rId16" w:tooltip="mailto:cfd@rosseti.ru" w:history="1">
        <w:r>
          <w:rPr>
            <w:rStyle w:val="1316"/>
            <w:rFonts w:ascii="Tinos" w:hAnsi="Tinos" w:eastAsia="Tinos" w:cs="Tinos"/>
          </w:rPr>
          <w:t xml:space="preserve">cfd@rosseti.ru</w:t>
        </w:r>
      </w:hyperlink>
      <w:r>
        <w:rPr>
          <w:rFonts w:ascii="Tinos" w:hAnsi="Tinos" w:eastAsia="Tinos" w:cs="Tinos"/>
        </w:rPr>
        <w:t xml:space="preserve">.</w:t>
      </w:r>
      <w:r>
        <w:rPr>
          <w:rFonts w:ascii="Tinos" w:hAnsi="Tinos" w:eastAsia="Tinos" w:cs="Tinos"/>
          <w:bCs/>
        </w:rPr>
        <w:t xml:space="preserve"> </w:t>
      </w:r>
      <w:r>
        <w:rPr>
          <w:rFonts w:ascii="Tinos" w:hAnsi="Tinos" w:cs="Tinos"/>
          <w:bCs/>
        </w:rPr>
      </w:r>
    </w:p>
    <w:p>
      <w:pPr>
        <w:pStyle w:val="1315"/>
        <w:numPr>
          <w:ilvl w:val="2"/>
          <w:numId w:val="51"/>
        </w:numPr>
        <w:ind w:left="567" w:hanging="567"/>
        <w:jc w:val="both"/>
        <w:spacing w:line="17" w:lineRule="atLeast"/>
        <w:tabs>
          <w:tab w:val="left" w:pos="0" w:leader="none"/>
          <w:tab w:val="left" w:pos="1276" w:leader="none"/>
        </w:tabs>
        <w:rPr>
          <w:rFonts w:ascii="Tinos" w:hAnsi="Tinos" w:cs="Tinos"/>
          <w:bCs/>
          <w:sz w:val="22"/>
          <w:szCs w:val="22"/>
        </w:rPr>
        <w:pBdr>
          <w:left w:val="single" w:color="000000" w:sz="4" w:space="0"/>
        </w:pBdr>
      </w:pPr>
      <w:r>
        <w:rPr>
          <w:rFonts w:ascii="Tinos" w:hAnsi="Tinos" w:eastAsia="Tinos" w:cs="Tinos"/>
          <w:bCs/>
          <w:sz w:val="22"/>
          <w:szCs w:val="22"/>
        </w:rPr>
        <w:t xml:space="preserve">С согласия Покупателя поставить Товар досрочно.</w:t>
      </w:r>
      <w:r>
        <w:rPr>
          <w:rFonts w:ascii="Tinos" w:hAnsi="Tinos" w:cs="Tinos"/>
          <w:bCs/>
          <w:sz w:val="22"/>
          <w:szCs w:val="22"/>
        </w:rPr>
      </w:r>
    </w:p>
    <w:p>
      <w:pPr>
        <w:pStyle w:val="1315"/>
        <w:numPr>
          <w:ilvl w:val="1"/>
          <w:numId w:val="51"/>
        </w:numPr>
        <w:ind w:left="0" w:firstLine="0"/>
        <w:jc w:val="both"/>
        <w:spacing w:line="17" w:lineRule="atLeast"/>
        <w:tabs>
          <w:tab w:val="left" w:pos="0" w:leader="none"/>
          <w:tab w:val="left" w:pos="567" w:leader="none"/>
        </w:tabs>
        <w:rPr>
          <w:rFonts w:ascii="Tinos" w:hAnsi="Tinos" w:cs="Tinos"/>
          <w:iCs/>
          <w:sz w:val="22"/>
          <w:szCs w:val="22"/>
        </w:rPr>
      </w:pPr>
      <w:r/>
      <w:bookmarkStart w:id="1" w:name="Par0"/>
      <w:r/>
      <w:bookmarkEnd w:id="1"/>
      <w:r>
        <w:rPr>
          <w:rFonts w:ascii="Tinos" w:hAnsi="Tinos" w:eastAsia="Tinos" w:cs="Tinos"/>
          <w:iCs/>
          <w:sz w:val="22"/>
          <w:szCs w:val="22"/>
        </w:rPr>
        <w:t xml:space="preserve">Покупатель обязан:</w:t>
      </w:r>
      <w:r>
        <w:rPr>
          <w:rFonts w:ascii="Tinos" w:hAnsi="Tinos" w:cs="Tinos"/>
          <w:iCs/>
          <w:sz w:val="22"/>
          <w:szCs w:val="22"/>
        </w:rPr>
      </w:r>
    </w:p>
    <w:p>
      <w:pPr>
        <w:pStyle w:val="1315"/>
        <w:numPr>
          <w:ilvl w:val="2"/>
          <w:numId w:val="49"/>
        </w:numPr>
        <w:ind w:left="0" w:firstLine="0"/>
        <w:jc w:val="both"/>
        <w:spacing w:line="17" w:lineRule="atLeast"/>
        <w:shd w:val="clear" w:color="auto" w:fill="ffffff"/>
        <w:tabs>
          <w:tab w:val="left" w:pos="567" w:leader="none"/>
          <w:tab w:val="left" w:pos="851" w:leader="none"/>
          <w:tab w:val="left" w:pos="900" w:leader="none"/>
          <w:tab w:val="left" w:pos="993" w:leader="none"/>
        </w:tabs>
        <w:rPr>
          <w:rFonts w:ascii="Tinos" w:hAnsi="Tinos" w:cs="Tinos"/>
          <w:iCs/>
          <w:sz w:val="22"/>
          <w:szCs w:val="22"/>
        </w:rPr>
      </w:pPr>
      <w:r>
        <w:rPr>
          <w:rFonts w:ascii="Tinos" w:hAnsi="Tinos" w:eastAsia="Tinos" w:cs="Tinos"/>
          <w:iCs/>
          <w:sz w:val="22"/>
          <w:szCs w:val="22"/>
          <w:lang w:eastAsia="en-US"/>
        </w:rPr>
        <w:t xml:space="preserve">Производить расчеты с Поставщиком в размере и в сроки, установленные Договором.</w:t>
      </w:r>
      <w:r>
        <w:rPr>
          <w:rFonts w:ascii="Tinos" w:hAnsi="Tinos" w:cs="Tinos"/>
          <w:iCs/>
          <w:sz w:val="22"/>
          <w:szCs w:val="22"/>
        </w:rPr>
      </w:r>
    </w:p>
    <w:p>
      <w:pPr>
        <w:pStyle w:val="1315"/>
        <w:numPr>
          <w:ilvl w:val="0"/>
          <w:numId w:val="49"/>
        </w:numPr>
        <w:ind w:left="0" w:firstLine="0"/>
        <w:jc w:val="center"/>
        <w:spacing w:line="17" w:lineRule="atLeast"/>
        <w:tabs>
          <w:tab w:val="left" w:pos="425" w:leader="none"/>
        </w:tabs>
        <w:rPr>
          <w:rFonts w:ascii="Tinos" w:hAnsi="Tinos" w:cs="Tinos"/>
          <w:b/>
          <w:sz w:val="22"/>
          <w:szCs w:val="22"/>
        </w:rPr>
      </w:pPr>
      <w:r>
        <w:rPr>
          <w:rFonts w:ascii="Tinos" w:hAnsi="Tinos" w:eastAsia="Tinos" w:cs="Tinos"/>
          <w:b/>
          <w:sz w:val="22"/>
          <w:szCs w:val="22"/>
        </w:rPr>
        <w:t xml:space="preserve">Порядок поставки</w:t>
      </w:r>
      <w:r>
        <w:rPr>
          <w:rFonts w:ascii="Tinos" w:hAnsi="Tinos" w:cs="Tinos"/>
          <w:b/>
          <w:sz w:val="22"/>
          <w:szCs w:val="22"/>
        </w:rPr>
      </w:r>
    </w:p>
    <w:p>
      <w:pPr>
        <w:pStyle w:val="1433"/>
        <w:jc w:val="both"/>
        <w:spacing w:line="17" w:lineRule="atLeast"/>
        <w:widowControl w:val="off"/>
        <w:tabs>
          <w:tab w:val="left" w:pos="426" w:leader="none"/>
        </w:tabs>
        <w:rPr>
          <w:rFonts w:ascii="Tinos" w:hAnsi="Tinos" w:cs="Tinos"/>
        </w:rPr>
      </w:pPr>
      <w:r>
        <w:rPr>
          <w:rFonts w:ascii="Tinos" w:hAnsi="Tinos" w:eastAsia="Tinos" w:cs="Tinos"/>
          <w:spacing w:val="-4"/>
        </w:rPr>
        <w:t xml:space="preserve">6.1. </w:t>
      </w:r>
      <w:r>
        <w:rPr>
          <w:rFonts w:ascii="Tinos" w:hAnsi="Tinos" w:eastAsia="Tinos" w:cs="Tinos"/>
        </w:rPr>
        <w:t xml:space="preserve">Поставка Товара осуществляется Поставщиком Покупателю на объект поставки в соответствии с условиями, адресом и сроками, предусмотренными в Технической час</w:t>
      </w:r>
      <w:r>
        <w:rPr>
          <w:rFonts w:ascii="Tinos" w:hAnsi="Tinos" w:eastAsia="Tinos" w:cs="Tinos"/>
        </w:rPr>
        <w:t xml:space="preserve">ти (Приложение 1 к договору) и другими условиями, предусмотренными Договором.</w:t>
      </w:r>
      <w:r>
        <w:rPr>
          <w:rFonts w:ascii="Tinos" w:hAnsi="Tinos" w:cs="Tinos"/>
        </w:rPr>
      </w:r>
    </w:p>
    <w:p>
      <w:pPr>
        <w:pStyle w:val="1433"/>
        <w:jc w:val="both"/>
        <w:spacing w:line="17" w:lineRule="atLeast"/>
        <w:widowControl w:val="off"/>
        <w:tabs>
          <w:tab w:val="left" w:pos="426" w:leader="none"/>
        </w:tabs>
        <w:rPr>
          <w:rFonts w:ascii="Tinos" w:hAnsi="Tinos" w:cs="Tinos"/>
        </w:rPr>
      </w:pPr>
      <w:r>
        <w:rPr>
          <w:rFonts w:ascii="Tinos" w:hAnsi="Tinos" w:eastAsia="Tinos" w:cs="Tinos"/>
        </w:rPr>
        <w:t xml:space="preserve">В случае доставки Поставщиком транспортных средств к месту поставки своим ходом (перегоном) и достижения пробега (наработки), при котором в соответствии с рекомендациями завода и</w:t>
      </w:r>
      <w:r>
        <w:rPr>
          <w:rFonts w:ascii="Tinos" w:hAnsi="Tinos" w:eastAsia="Tinos" w:cs="Tinos"/>
        </w:rPr>
        <w:t xml:space="preserve">зготовителя необходимо проводить регламентное техническое обслуживание, Поставщик должен обеспечить проведение ТО в дилерском сервисном центре за свой счет с обязательной отметкой в сервисной книжке, а также предоставить копию акта приемки выполненных рабо</w:t>
      </w:r>
      <w:r>
        <w:rPr>
          <w:rFonts w:ascii="Tinos" w:hAnsi="Tinos" w:eastAsia="Tinos" w:cs="Tinos"/>
        </w:rPr>
        <w:t xml:space="preserve">т по проведению ТО.</w:t>
      </w:r>
      <w:r>
        <w:rPr>
          <w:rFonts w:ascii="Tinos" w:hAnsi="Tinos" w:cs="Tinos"/>
        </w:rPr>
      </w:r>
    </w:p>
    <w:p>
      <w:pPr>
        <w:pStyle w:val="1433"/>
        <w:jc w:val="both"/>
        <w:spacing w:line="17" w:lineRule="atLeast"/>
        <w:widowControl w:val="off"/>
        <w:tabs>
          <w:tab w:val="left" w:pos="426" w:leader="none"/>
        </w:tabs>
        <w:rPr>
          <w:rFonts w:ascii="Tinos" w:hAnsi="Tinos" w:cs="Tinos"/>
        </w:rPr>
      </w:pPr>
      <w:r>
        <w:rPr>
          <w:rFonts w:ascii="Tinos" w:hAnsi="Tinos" w:eastAsia="Tinos" w:cs="Tinos"/>
        </w:rPr>
        <w:t xml:space="preserve">Поставщик должен за свой счет и в сроки, согласованные с Покупателем, устранять любые дефекты, не связанные с нарушением условий эксплуатации, в поставленной технике, выявленные в течение гарантийного срока.</w:t>
      </w:r>
      <w:r>
        <w:rPr>
          <w:rFonts w:ascii="Tinos" w:hAnsi="Tinos" w:cs="Tinos"/>
        </w:rPr>
      </w:r>
    </w:p>
    <w:p>
      <w:pPr>
        <w:pStyle w:val="1433"/>
        <w:jc w:val="both"/>
        <w:spacing w:line="17" w:lineRule="atLeast"/>
        <w:widowControl w:val="off"/>
        <w:tabs>
          <w:tab w:val="left" w:pos="426" w:leader="none"/>
        </w:tabs>
        <w:rPr>
          <w:rFonts w:ascii="Tinos" w:hAnsi="Tinos" w:cs="Tinos"/>
          <w:i/>
          <w:iCs/>
        </w:rPr>
      </w:pPr>
      <w:r>
        <w:rPr>
          <w:rFonts w:ascii="Tinos" w:hAnsi="Tinos" w:eastAsia="Tinos" w:cs="Tinos"/>
        </w:rPr>
        <w:t xml:space="preserve">6.2. </w:t>
      </w:r>
      <w:r>
        <w:rPr>
          <w:rFonts w:ascii="Tinos" w:hAnsi="Tinos" w:eastAsia="Tinos" w:cs="Tinos"/>
          <w:iCs/>
        </w:rPr>
        <w:t xml:space="preserve">Н</w:t>
      </w:r>
      <w:r>
        <w:rPr>
          <w:rFonts w:ascii="Tinos" w:hAnsi="Tinos" w:eastAsia="Tinos" w:cs="Tinos"/>
        </w:rPr>
        <w:t xml:space="preserve">аименование, упаковка </w:t>
      </w:r>
      <w:r>
        <w:rPr>
          <w:rFonts w:ascii="Tinos" w:hAnsi="Tinos" w:eastAsia="Tinos" w:cs="Tinos"/>
        </w:rPr>
        <w:t xml:space="preserve">и маркировка Товара</w:t>
      </w:r>
      <w:r>
        <w:rPr>
          <w:rFonts w:ascii="Tinos" w:hAnsi="Tinos" w:eastAsia="Tinos" w:cs="Tinos"/>
          <w:i/>
          <w:iCs/>
        </w:rPr>
        <w:t xml:space="preserve">,</w:t>
      </w:r>
      <w:r>
        <w:rPr>
          <w:rFonts w:ascii="Tinos" w:hAnsi="Tinos" w:eastAsia="Tinos" w:cs="Tinos"/>
        </w:rPr>
        <w:t xml:space="preserve"> страна происхождения Товара, а также документация </w:t>
      </w:r>
      <w:r>
        <w:rPr>
          <w:rFonts w:ascii="Tinos" w:hAnsi="Tinos" w:eastAsia="Tinos" w:cs="Tinos"/>
          <w:spacing w:val="-4"/>
        </w:rPr>
        <w:t xml:space="preserve">должны строго соответствовать требованиям, предусмотренным в Приложении № 1</w:t>
      </w:r>
      <w:r>
        <w:rPr>
          <w:rFonts w:ascii="Tinos" w:hAnsi="Tinos" w:eastAsia="Tinos" w:cs="Tinos"/>
        </w:rPr>
        <w:t xml:space="preserve"> к настоящему Договору</w:t>
      </w:r>
      <w:r>
        <w:rPr>
          <w:rFonts w:ascii="Tinos" w:hAnsi="Tinos" w:eastAsia="Tinos" w:cs="Tinos"/>
          <w:i/>
          <w:iCs/>
        </w:rPr>
        <w:t xml:space="preserve">.</w:t>
      </w:r>
      <w:r>
        <w:rPr>
          <w:rFonts w:ascii="Tinos" w:hAnsi="Tinos" w:cs="Tinos"/>
          <w:i/>
          <w:iCs/>
        </w:rPr>
      </w:r>
    </w:p>
    <w:p>
      <w:pPr>
        <w:jc w:val="both"/>
        <w:spacing w:after="0" w:line="17" w:lineRule="atLeast"/>
        <w:widowControl w:val="off"/>
        <w:tabs>
          <w:tab w:val="left" w:pos="0" w:leader="none"/>
          <w:tab w:val="left" w:pos="426" w:leader="none"/>
        </w:tabs>
        <w:rPr>
          <w:rFonts w:ascii="Tinos" w:hAnsi="Tinos" w:cs="Tinos"/>
        </w:rPr>
      </w:pPr>
      <w:r>
        <w:rPr>
          <w:rFonts w:ascii="Tinos" w:hAnsi="Tinos" w:eastAsia="Tinos" w:cs="Tinos"/>
          <w:iCs/>
        </w:rPr>
        <w:t xml:space="preserve">6.3. </w:t>
      </w:r>
      <w:r>
        <w:rPr>
          <w:rFonts w:ascii="Tinos" w:hAnsi="Tinos" w:eastAsia="Tinos" w:cs="Tinos"/>
        </w:rPr>
        <w:t xml:space="preserve">Поставщик в любом случае должен поставить Товар в таре и упаковке, гарантирующей </w:t>
      </w:r>
      <w:r>
        <w:rPr>
          <w:rFonts w:ascii="Tinos" w:hAnsi="Tinos" w:eastAsia="Tinos" w:cs="Tinos"/>
        </w:rPr>
        <w:t xml:space="preserve">его сохранность во время поставки. В случае, предусмотренном в документации,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w:t>
      </w:r>
      <w:r>
        <w:rPr>
          <w:rFonts w:ascii="Tinos" w:hAnsi="Tinos" w:eastAsia="Tinos" w:cs="Tinos"/>
        </w:rPr>
        <w:t xml:space="preserve">акже открытое хранение.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 Многооборотная тара и средства паке</w:t>
      </w:r>
      <w:r>
        <w:rPr>
          <w:rFonts w:ascii="Tinos" w:hAnsi="Tinos" w:eastAsia="Tinos" w:cs="Tinos"/>
        </w:rPr>
        <w:t xml:space="preserve">тирования, в которых поступил Товар, не возвращаются Поставщику. </w:t>
      </w:r>
      <w:r>
        <w:rPr>
          <w:rFonts w:ascii="Tinos" w:hAnsi="Tinos" w:cs="Tinos"/>
        </w:rPr>
      </w:r>
    </w:p>
    <w:p>
      <w:pPr>
        <w:jc w:val="both"/>
        <w:spacing w:after="0" w:line="17" w:lineRule="atLeast"/>
        <w:widowControl w:val="off"/>
        <w:tabs>
          <w:tab w:val="left" w:pos="1200" w:leader="none"/>
          <w:tab w:val="num" w:pos="1440" w:leader="none"/>
        </w:tabs>
        <w:rPr>
          <w:rFonts w:ascii="Tinos" w:hAnsi="Tinos" w:cs="Tinos"/>
        </w:rPr>
      </w:pPr>
      <w:r>
        <w:rPr>
          <w:rFonts w:ascii="Tinos" w:hAnsi="Tinos" w:eastAsia="Tinos" w:cs="Tinos"/>
        </w:rPr>
        <w:t xml:space="preserve">6.4. Разгрузка осуществляется силами Поставщика.</w:t>
      </w:r>
      <w:r>
        <w:rPr>
          <w:rFonts w:ascii="Tinos" w:hAnsi="Tinos" w:cs="Tinos"/>
        </w:rPr>
      </w:r>
    </w:p>
    <w:p>
      <w:pPr>
        <w:jc w:val="both"/>
        <w:spacing w:after="0" w:line="17" w:lineRule="atLeast"/>
        <w:widowControl w:val="off"/>
        <w:tabs>
          <w:tab w:val="left" w:pos="1560" w:leader="none"/>
          <w:tab w:val="num" w:pos="2127" w:leader="none"/>
        </w:tabs>
        <w:rPr>
          <w:rFonts w:ascii="Tinos" w:hAnsi="Tinos" w:cs="Tinos"/>
        </w:rPr>
      </w:pPr>
      <w:r>
        <w:rPr>
          <w:rFonts w:ascii="Tinos" w:hAnsi="Tinos" w:eastAsia="Tinos" w:cs="Tinos"/>
        </w:rPr>
        <w:t xml:space="preserve">6.5. Поставщик может осуществить досрочную поставку Товара только по согласованию с Покупателем. В этом случае все расходы по хранению Товара до момента его принятия Покупателем в установленные настоящим Договором сроки несет Поставщик. Согласие на досрочн</w:t>
      </w:r>
      <w:r>
        <w:rPr>
          <w:rFonts w:ascii="Tinos" w:hAnsi="Tinos" w:eastAsia="Tinos" w:cs="Tinos"/>
        </w:rPr>
        <w:t xml:space="preserve">ую поставку само по себе не меняет условий договора о порядке и условиях платежей и в отсутствие соглашения сторон об ином оплата Товара должна производиться в порядке и сроки, предусмотренные Договором применительно к установленному Договору сроку поставк</w:t>
      </w:r>
      <w:r>
        <w:rPr>
          <w:rFonts w:ascii="Tinos" w:hAnsi="Tinos" w:eastAsia="Tinos" w:cs="Tinos"/>
        </w:rPr>
        <w:t xml:space="preserve">и.</w:t>
      </w:r>
      <w:r>
        <w:rPr>
          <w:rFonts w:ascii="Tinos" w:hAnsi="Tinos" w:cs="Tinos"/>
        </w:rPr>
      </w:r>
    </w:p>
    <w:p>
      <w:pPr>
        <w:pStyle w:val="1315"/>
        <w:numPr>
          <w:ilvl w:val="0"/>
          <w:numId w:val="49"/>
        </w:numPr>
        <w:ind w:left="0" w:right="850" w:firstLine="0"/>
        <w:jc w:val="center"/>
        <w:spacing w:line="17" w:lineRule="atLeast"/>
        <w:tabs>
          <w:tab w:val="left" w:pos="426" w:leader="none"/>
          <w:tab w:val="num" w:pos="1200" w:leader="none"/>
          <w:tab w:val="num" w:pos="2410" w:leader="none"/>
        </w:tabs>
        <w:rPr>
          <w:rFonts w:ascii="Tinos" w:hAnsi="Tinos" w:cs="Tinos"/>
          <w:b/>
          <w:bCs/>
          <w:sz w:val="22"/>
          <w:szCs w:val="22"/>
        </w:rPr>
      </w:pPr>
      <w:r>
        <w:rPr>
          <w:rFonts w:ascii="Tinos" w:hAnsi="Tinos" w:eastAsia="Tinos" w:cs="Tinos"/>
          <w:b/>
          <w:bCs/>
          <w:sz w:val="22"/>
          <w:szCs w:val="22"/>
        </w:rPr>
        <w:t xml:space="preserve">Документация</w:t>
      </w:r>
      <w:r>
        <w:rPr>
          <w:rFonts w:ascii="Tinos" w:hAnsi="Tinos" w:cs="Tinos"/>
          <w:b/>
          <w:bCs/>
          <w:sz w:val="22"/>
          <w:szCs w:val="22"/>
        </w:rPr>
      </w:r>
    </w:p>
    <w:p>
      <w:pPr>
        <w:jc w:val="both"/>
        <w:spacing w:after="0" w:line="17" w:lineRule="atLeast"/>
        <w:widowControl w:val="off"/>
        <w:tabs>
          <w:tab w:val="left" w:pos="426" w:leader="none"/>
          <w:tab w:val="left" w:pos="1276" w:leader="none"/>
          <w:tab w:val="num" w:pos="1626" w:leader="none"/>
          <w:tab w:val="num" w:pos="1909" w:leader="none"/>
        </w:tabs>
        <w:rPr>
          <w:rFonts w:ascii="Tinos" w:hAnsi="Tinos" w:cs="Tinos"/>
        </w:rPr>
      </w:pPr>
      <w:r>
        <w:rPr>
          <w:rFonts w:ascii="Tinos" w:hAnsi="Tinos" w:eastAsia="Tinos" w:cs="Tinos"/>
          <w:spacing w:val="-4"/>
        </w:rPr>
        <w:t xml:space="preserve">7.1. Товар должен соответствовать требованиям закупочной документации,</w:t>
      </w:r>
      <w:r>
        <w:rPr>
          <w:rFonts w:ascii="Tinos" w:hAnsi="Tinos" w:eastAsia="Tinos" w:cs="Tinos"/>
        </w:rPr>
        <w:t xml:space="preserve"> обязательным нормативно-техническим документам группы компаний «Россети», быть снабжен соответствующими сертификатами, техническими паспорта</w:t>
      </w:r>
      <w:r>
        <w:rPr>
          <w:rFonts w:ascii="Tinos" w:hAnsi="Tinos" w:eastAsia="Tinos" w:cs="Tinos"/>
        </w:rPr>
        <w:t xml:space="preserve">ми, аттестатами, декларациями соответствия и другими документами на русском языке, предусмотренными действующим законодательством Российской Федерации и Договором, а также удостоверяющими качество и страну происхождения Товара, соответствие его обязательны</w:t>
      </w:r>
      <w:r>
        <w:rPr>
          <w:rFonts w:ascii="Tinos" w:hAnsi="Tinos" w:eastAsia="Tinos" w:cs="Tinos"/>
        </w:rPr>
        <w:t xml:space="preserve">м требованиям.</w:t>
      </w:r>
      <w:r>
        <w:rPr>
          <w:rFonts w:ascii="Tinos" w:hAnsi="Tinos" w:cs="Tinos"/>
        </w:rPr>
      </w:r>
    </w:p>
    <w:p>
      <w:pPr>
        <w:jc w:val="both"/>
        <w:spacing w:after="0" w:line="17" w:lineRule="atLeast"/>
        <w:widowControl w:val="off"/>
        <w:tabs>
          <w:tab w:val="left" w:pos="426" w:leader="none"/>
          <w:tab w:val="left" w:pos="1276" w:leader="none"/>
          <w:tab w:val="num" w:pos="1626" w:leader="none"/>
          <w:tab w:val="num" w:pos="1909" w:leader="none"/>
        </w:tabs>
        <w:rPr>
          <w:rFonts w:ascii="Tinos" w:hAnsi="Tinos" w:cs="Tinos"/>
        </w:rPr>
      </w:pPr>
      <w:r>
        <w:rPr>
          <w:rFonts w:ascii="Tinos" w:hAnsi="Tinos" w:eastAsia="Tinos" w:cs="Tinos"/>
        </w:rPr>
        <w:t xml:space="preserve">7.2. Поставщик обязан предоставить список сервисных центров по обслуживанию и ремонту поставляемых транспортных средств, расположенных на территории присутствия АО «Россети Сибирь Тываэнерго».</w:t>
      </w:r>
      <w:r>
        <w:rPr>
          <w:rFonts w:ascii="Tinos" w:hAnsi="Tinos" w:cs="Tinos"/>
        </w:rPr>
      </w:r>
    </w:p>
    <w:p>
      <w:pPr>
        <w:jc w:val="both"/>
        <w:spacing w:after="0" w:line="17" w:lineRule="atLeast"/>
        <w:widowControl w:val="off"/>
        <w:tabs>
          <w:tab w:val="left" w:pos="426" w:leader="none"/>
          <w:tab w:val="num" w:pos="1909" w:leader="none"/>
        </w:tabs>
        <w:rPr>
          <w:rFonts w:ascii="Tinos" w:hAnsi="Tinos" w:cs="Tinos"/>
          <w:spacing w:val="-4"/>
        </w:rPr>
      </w:pPr>
      <w:r>
        <w:rPr>
          <w:rFonts w:ascii="Tinos" w:hAnsi="Tinos" w:eastAsia="Tinos" w:cs="Tinos"/>
          <w:spacing w:val="-4"/>
        </w:rPr>
        <w:t xml:space="preserve">7.3. Поставщик обязан предоставить следующие док</w:t>
      </w:r>
      <w:r>
        <w:rPr>
          <w:rFonts w:ascii="Tinos" w:hAnsi="Tinos" w:eastAsia="Tinos" w:cs="Tinos"/>
          <w:spacing w:val="-4"/>
        </w:rPr>
        <w:t xml:space="preserve">ументы, подтверждающие соответствие транспортных средств установленным требованиям</w:t>
      </w:r>
      <w:r>
        <w:rPr>
          <w:rFonts w:ascii="Tinos" w:hAnsi="Tinos" w:eastAsia="Tinos" w:cs="Tinos"/>
        </w:rPr>
        <w:t xml:space="preserve"> </w:t>
      </w:r>
      <w:r>
        <w:rPr>
          <w:rFonts w:ascii="Tinos" w:hAnsi="Tinos" w:eastAsia="Tinos" w:cs="Tinos"/>
          <w:spacing w:val="-4"/>
        </w:rPr>
        <w:t xml:space="preserve">на русском языке:</w:t>
      </w:r>
      <w:r>
        <w:rPr>
          <w:rFonts w:ascii="Tinos" w:hAnsi="Tinos" w:cs="Tinos"/>
          <w:spacing w:val="-4"/>
        </w:rPr>
      </w:r>
    </w:p>
    <w:p>
      <w:pPr>
        <w:jc w:val="both"/>
        <w:spacing w:after="0" w:line="17" w:lineRule="atLeast"/>
        <w:widowControl w:val="off"/>
        <w:tabs>
          <w:tab w:val="left" w:pos="426" w:leader="none"/>
          <w:tab w:val="num" w:pos="1909" w:leader="none"/>
        </w:tabs>
        <w:rPr>
          <w:rFonts w:ascii="Tinos" w:hAnsi="Tinos" w:cs="Tinos"/>
          <w:spacing w:val="-4"/>
        </w:rPr>
      </w:pPr>
      <w:r>
        <w:rPr>
          <w:rFonts w:ascii="Tinos" w:hAnsi="Tinos" w:eastAsia="Tinos" w:cs="Tinos"/>
          <w:spacing w:val="-4"/>
        </w:rPr>
        <w:t xml:space="preserve">7.3.1. сертификаты соответствия требованиям ГОСТ Р (ГОСТ или ТУ (с приложением данных ТУ)) и безопасности;</w:t>
      </w:r>
      <w:r>
        <w:rPr>
          <w:rFonts w:ascii="Tinos" w:hAnsi="Tinos" w:cs="Tinos"/>
          <w:spacing w:val="-4"/>
        </w:rPr>
      </w:r>
    </w:p>
    <w:p>
      <w:pPr>
        <w:jc w:val="both"/>
        <w:spacing w:after="0" w:line="17" w:lineRule="atLeast"/>
        <w:widowControl w:val="off"/>
        <w:tabs>
          <w:tab w:val="left" w:pos="426" w:leader="none"/>
          <w:tab w:val="num" w:pos="1909" w:leader="none"/>
        </w:tabs>
        <w:rPr>
          <w:rFonts w:ascii="Tinos" w:hAnsi="Tinos" w:cs="Tinos"/>
          <w:spacing w:val="-4"/>
        </w:rPr>
      </w:pPr>
      <w:r>
        <w:rPr>
          <w:rFonts w:ascii="Tinos" w:hAnsi="Tinos" w:eastAsia="Tinos" w:cs="Tinos"/>
          <w:spacing w:val="-4"/>
        </w:rPr>
        <w:t xml:space="preserve">7.3.2. документальное подтверждение дилерских пр</w:t>
      </w:r>
      <w:r>
        <w:rPr>
          <w:rFonts w:ascii="Tinos" w:hAnsi="Tinos" w:eastAsia="Tinos" w:cs="Tinos"/>
          <w:spacing w:val="-4"/>
        </w:rPr>
        <w:t xml:space="preserve">ав (договор, соглашение или свидетельство о дилерстве) на поставку транспортных средств с гарантией предприятия изготовителя;</w:t>
      </w:r>
      <w:r>
        <w:rPr>
          <w:rFonts w:ascii="Tinos" w:hAnsi="Tinos" w:cs="Tinos"/>
          <w:spacing w:val="-4"/>
        </w:rPr>
      </w:r>
    </w:p>
    <w:p>
      <w:pPr>
        <w:jc w:val="both"/>
        <w:spacing w:after="0" w:line="17" w:lineRule="atLeast"/>
        <w:widowControl w:val="off"/>
        <w:tabs>
          <w:tab w:val="left" w:pos="426" w:leader="none"/>
          <w:tab w:val="num" w:pos="1909" w:leader="none"/>
        </w:tabs>
        <w:rPr>
          <w:rFonts w:ascii="Tinos" w:hAnsi="Tinos" w:cs="Tinos"/>
          <w:spacing w:val="-4"/>
        </w:rPr>
      </w:pPr>
      <w:r>
        <w:rPr>
          <w:rFonts w:ascii="Tinos" w:hAnsi="Tinos" w:eastAsia="Tinos" w:cs="Tinos"/>
          <w:spacing w:val="-4"/>
        </w:rPr>
        <w:t xml:space="preserve">7.3.3. одобрение типа транспортного средства на готовое изделие (шасси с установленным оборудованием).</w:t>
      </w:r>
      <w:r>
        <w:rPr>
          <w:rFonts w:ascii="Tinos" w:hAnsi="Tinos" w:cs="Tinos"/>
          <w:spacing w:val="-4"/>
        </w:rPr>
      </w:r>
    </w:p>
    <w:p>
      <w:pPr>
        <w:jc w:val="both"/>
        <w:spacing w:after="0" w:line="17" w:lineRule="atLeast"/>
        <w:widowControl w:val="off"/>
        <w:tabs>
          <w:tab w:val="left" w:pos="426" w:leader="none"/>
          <w:tab w:val="num" w:pos="1909" w:leader="none"/>
        </w:tabs>
        <w:rPr>
          <w:rFonts w:ascii="Tinos" w:hAnsi="Tinos" w:cs="Tinos"/>
          <w:spacing w:val="-4"/>
        </w:rPr>
      </w:pPr>
      <w:r>
        <w:rPr>
          <w:rFonts w:ascii="Tinos" w:hAnsi="Tinos" w:eastAsia="Tinos" w:cs="Tinos"/>
          <w:spacing w:val="-4"/>
        </w:rPr>
        <w:t xml:space="preserve">7.3.4.  сертификат соответс</w:t>
      </w:r>
      <w:r>
        <w:rPr>
          <w:rFonts w:ascii="Tinos" w:hAnsi="Tinos" w:eastAsia="Tinos" w:cs="Tinos"/>
          <w:spacing w:val="-4"/>
        </w:rPr>
        <w:t xml:space="preserve">твия таможенного союза на готовое изделие (ТС);</w:t>
      </w:r>
      <w:r>
        <w:rPr>
          <w:rFonts w:ascii="Tinos" w:hAnsi="Tinos" w:cs="Tinos"/>
          <w:spacing w:val="-4"/>
        </w:rPr>
      </w:r>
    </w:p>
    <w:p>
      <w:pPr>
        <w:jc w:val="both"/>
        <w:spacing w:after="0" w:line="17" w:lineRule="atLeast"/>
        <w:widowControl w:val="off"/>
        <w:tabs>
          <w:tab w:val="left" w:pos="426" w:leader="none"/>
          <w:tab w:val="num" w:pos="1909" w:leader="none"/>
        </w:tabs>
        <w:rPr>
          <w:rFonts w:ascii="Tinos" w:hAnsi="Tinos" w:cs="Tinos"/>
          <w:spacing w:val="-4"/>
        </w:rPr>
      </w:pPr>
      <w:r>
        <w:rPr>
          <w:rFonts w:ascii="Tinos" w:hAnsi="Tinos" w:eastAsia="Tinos" w:cs="Tinos"/>
          <w:spacing w:val="-4"/>
        </w:rPr>
        <w:t xml:space="preserve">7.3.5. грузовысотные диаграммы производителя подъёмных сооружений;</w:t>
      </w:r>
      <w:r>
        <w:rPr>
          <w:rFonts w:ascii="Tinos" w:hAnsi="Tinos" w:cs="Tinos"/>
          <w:spacing w:val="-4"/>
        </w:rPr>
      </w:r>
    </w:p>
    <w:p>
      <w:pPr>
        <w:jc w:val="both"/>
        <w:spacing w:after="0" w:line="17" w:lineRule="atLeast"/>
        <w:widowControl w:val="off"/>
        <w:tabs>
          <w:tab w:val="left" w:pos="426" w:leader="none"/>
          <w:tab w:val="num" w:pos="1909" w:leader="none"/>
        </w:tabs>
        <w:rPr>
          <w:rFonts w:ascii="Tinos" w:hAnsi="Tinos" w:cs="Tinos"/>
          <w:spacing w:val="-4"/>
        </w:rPr>
      </w:pPr>
      <w:r>
        <w:rPr>
          <w:rFonts w:ascii="Tinos" w:hAnsi="Tinos" w:eastAsia="Tinos" w:cs="Tinos"/>
          <w:spacing w:val="-4"/>
        </w:rPr>
        <w:t xml:space="preserve">7.3.6. габаритные чертежи ТС;</w:t>
      </w:r>
      <w:r>
        <w:rPr>
          <w:rFonts w:ascii="Tinos" w:hAnsi="Tinos" w:cs="Tinos"/>
          <w:spacing w:val="-4"/>
        </w:rPr>
      </w:r>
    </w:p>
    <w:p>
      <w:pPr>
        <w:jc w:val="both"/>
        <w:spacing w:after="0" w:line="17" w:lineRule="atLeast"/>
        <w:widowControl w:val="off"/>
        <w:tabs>
          <w:tab w:val="left" w:pos="426" w:leader="none"/>
          <w:tab w:val="num" w:pos="1909" w:leader="none"/>
        </w:tabs>
        <w:rPr>
          <w:rFonts w:ascii="Tinos" w:hAnsi="Tinos" w:cs="Tinos"/>
          <w:spacing w:val="-4"/>
        </w:rPr>
      </w:pPr>
      <w:r>
        <w:rPr>
          <w:rFonts w:ascii="Tinos" w:hAnsi="Tinos" w:eastAsia="Tinos" w:cs="Tinos"/>
          <w:spacing w:val="-4"/>
        </w:rPr>
        <w:t xml:space="preserve">7.3.7. полномочия от производителя, подтверждающие, что участник сможет осуществить поставку ТС, и на поставлен</w:t>
      </w:r>
      <w:r>
        <w:rPr>
          <w:rFonts w:ascii="Tinos" w:hAnsi="Tinos" w:eastAsia="Tinos" w:cs="Tinos"/>
          <w:spacing w:val="-4"/>
        </w:rPr>
        <w:t xml:space="preserve">ную продукцию будут распространяться все гарантии производителя;</w:t>
      </w:r>
      <w:r>
        <w:rPr>
          <w:rFonts w:ascii="Tinos" w:hAnsi="Tinos" w:cs="Tinos"/>
          <w:spacing w:val="-4"/>
        </w:rPr>
      </w:r>
    </w:p>
    <w:p>
      <w:pPr>
        <w:jc w:val="both"/>
        <w:spacing w:after="0" w:line="17" w:lineRule="atLeast"/>
        <w:widowControl w:val="off"/>
        <w:tabs>
          <w:tab w:val="left" w:pos="426" w:leader="none"/>
          <w:tab w:val="num" w:pos="1909" w:leader="none"/>
        </w:tabs>
        <w:rPr>
          <w:rFonts w:ascii="Tinos" w:hAnsi="Tinos" w:cs="Tinos"/>
        </w:rPr>
      </w:pPr>
      <w:r>
        <w:rPr>
          <w:rFonts w:ascii="Tinos" w:hAnsi="Tinos" w:eastAsia="Tinos" w:cs="Tinos"/>
          <w:spacing w:val="-4"/>
        </w:rPr>
        <w:t xml:space="preserve">7.3.8. документальное подтверждение (договор, соглашение, сертификаты) от изготовителей, привлекаемых к производству и поставке подъемных сооружений (при поставке грузоподъёмной техники).</w:t>
      </w:r>
      <w:r>
        <w:rPr>
          <w:rFonts w:ascii="Tinos" w:hAnsi="Tinos" w:cs="Tinos"/>
        </w:rPr>
      </w:r>
    </w:p>
    <w:p>
      <w:pPr>
        <w:jc w:val="both"/>
        <w:spacing w:after="0" w:line="17" w:lineRule="atLeast"/>
        <w:widowControl w:val="off"/>
        <w:tabs>
          <w:tab w:val="left" w:pos="426" w:leader="none"/>
          <w:tab w:val="num" w:pos="1909" w:leader="none"/>
        </w:tabs>
        <w:rPr>
          <w:rFonts w:ascii="Tinos" w:hAnsi="Tinos" w:cs="Tinos"/>
        </w:rPr>
      </w:pPr>
      <w:r>
        <w:rPr>
          <w:rFonts w:ascii="Tinos" w:hAnsi="Tinos" w:eastAsia="Tinos" w:cs="Tinos"/>
          <w:spacing w:val="-4"/>
        </w:rPr>
        <w:t xml:space="preserve">7.3</w:t>
      </w:r>
      <w:r>
        <w:rPr>
          <w:rFonts w:ascii="Tinos" w:hAnsi="Tinos" w:eastAsia="Tinos" w:cs="Tinos"/>
          <w:spacing w:val="-4"/>
        </w:rPr>
        <w:t xml:space="preserve">.9. </w:t>
      </w:r>
      <w:r>
        <w:rPr>
          <w:rFonts w:ascii="Tinos" w:hAnsi="Tinos" w:eastAsia="Tinos" w:cs="Tinos"/>
        </w:rPr>
        <w:t xml:space="preserve">сертификат о происхождении свидетельства о праве применения Товара на территории Российской Федерации в случае поставки Товара, произведенного за пределами Российской Федерации;</w:t>
      </w:r>
      <w:r>
        <w:rPr>
          <w:rFonts w:ascii="Tinos" w:hAnsi="Tinos" w:cs="Tinos"/>
        </w:rPr>
      </w:r>
    </w:p>
    <w:p>
      <w:pPr>
        <w:jc w:val="both"/>
        <w:spacing w:after="0" w:line="17" w:lineRule="atLeast"/>
        <w:widowControl w:val="off"/>
        <w:tabs>
          <w:tab w:val="left" w:pos="426" w:leader="none"/>
          <w:tab w:val="num" w:pos="1909" w:leader="none"/>
        </w:tabs>
        <w:rPr>
          <w:rFonts w:ascii="Tinos" w:hAnsi="Tinos" w:cs="Tinos"/>
          <w:bCs/>
          <w:spacing w:val="-4"/>
        </w:rPr>
      </w:pPr>
      <w:r>
        <w:rPr>
          <w:rFonts w:ascii="Tinos" w:hAnsi="Tinos" w:eastAsia="Tinos" w:cs="Tinos"/>
          <w:spacing w:val="-4"/>
        </w:rPr>
        <w:t xml:space="preserve">7.3.10. </w:t>
      </w:r>
      <w:r>
        <w:rPr>
          <w:rFonts w:ascii="Tinos" w:hAnsi="Tinos" w:eastAsia="Tinos" w:cs="Tinos"/>
          <w:bCs/>
          <w:spacing w:val="-4"/>
        </w:rPr>
        <w:t xml:space="preserve">документ, подтверждающий страну происхождения Товара.</w:t>
      </w:r>
      <w:r>
        <w:rPr>
          <w:rFonts w:ascii="Tinos" w:hAnsi="Tinos" w:cs="Tinos"/>
          <w:bCs/>
          <w:spacing w:val="-4"/>
        </w:rPr>
      </w:r>
    </w:p>
    <w:p>
      <w:pPr>
        <w:ind w:right="850"/>
        <w:jc w:val="center"/>
        <w:spacing w:after="0" w:line="17" w:lineRule="atLeast"/>
        <w:widowControl w:val="off"/>
        <w:tabs>
          <w:tab w:val="left" w:pos="993" w:leader="none"/>
          <w:tab w:val="num" w:pos="1985" w:leader="none"/>
          <w:tab w:val="num" w:pos="2345" w:leader="none"/>
        </w:tabs>
        <w:rPr>
          <w:rFonts w:ascii="Tinos" w:hAnsi="Tinos" w:cs="Tinos"/>
          <w:b/>
          <w:bCs/>
        </w:rPr>
      </w:pPr>
      <w:r>
        <w:rPr>
          <w:rFonts w:ascii="Tinos" w:hAnsi="Tinos" w:eastAsia="Tinos" w:cs="Tinos"/>
          <w:b/>
          <w:bCs/>
        </w:rPr>
        <w:t xml:space="preserve">8. Порядок п</w:t>
      </w:r>
      <w:r>
        <w:rPr>
          <w:rFonts w:ascii="Tinos" w:hAnsi="Tinos" w:eastAsia="Tinos" w:cs="Tinos"/>
          <w:b/>
          <w:bCs/>
        </w:rPr>
        <w:t xml:space="preserve">риема-передачи Товара</w:t>
      </w:r>
      <w:r>
        <w:rPr>
          <w:rFonts w:ascii="Tinos" w:hAnsi="Tinos" w:cs="Tinos"/>
          <w:b/>
          <w:bCs/>
        </w:rPr>
      </w:r>
    </w:p>
    <w:p>
      <w:pPr>
        <w:jc w:val="both"/>
        <w:spacing w:after="0" w:line="17" w:lineRule="atLeast"/>
        <w:widowControl w:val="off"/>
        <w:tabs>
          <w:tab w:val="left" w:pos="709" w:leader="none"/>
          <w:tab w:val="num" w:pos="1985" w:leader="none"/>
          <w:tab w:val="num" w:pos="2345" w:leader="none"/>
        </w:tabs>
        <w:rPr>
          <w:rFonts w:ascii="Tinos" w:hAnsi="Tinos" w:cs="Tinos"/>
        </w:rPr>
      </w:pPr>
      <w:r>
        <w:rPr>
          <w:rFonts w:ascii="Tinos" w:hAnsi="Tinos" w:eastAsia="Tinos" w:cs="Tinos"/>
        </w:rPr>
        <w:t xml:space="preserve">8.1. Поставщик обязан не позднее чем за 3 (три) рабочих дня до отгрузки Товара со склада Поставщика уведомить Покупателя о дате отгрузки Товара, согласовать дату его прибытия на Объект поставки и его предъявления Покупателю для осмотр</w:t>
      </w:r>
      <w:r>
        <w:rPr>
          <w:rFonts w:ascii="Tinos" w:hAnsi="Tinos" w:eastAsia="Tinos" w:cs="Tinos"/>
        </w:rPr>
        <w:t xml:space="preserve">а (если конкретная дата не определена Договором).</w:t>
      </w:r>
      <w:r>
        <w:rPr>
          <w:rFonts w:ascii="Tinos" w:hAnsi="Tinos" w:cs="Tinos"/>
        </w:rPr>
      </w:r>
    </w:p>
    <w:p>
      <w:pPr>
        <w:jc w:val="both"/>
        <w:spacing w:after="0" w:line="17" w:lineRule="atLeast"/>
        <w:widowControl w:val="off"/>
        <w:tabs>
          <w:tab w:val="left" w:pos="709" w:leader="none"/>
          <w:tab w:val="num" w:pos="1985" w:leader="none"/>
          <w:tab w:val="num" w:pos="2345" w:leader="none"/>
        </w:tabs>
        <w:rPr>
          <w:rFonts w:ascii="Tinos" w:hAnsi="Tinos" w:cs="Tinos"/>
          <w:bCs/>
        </w:rPr>
      </w:pPr>
      <w:r>
        <w:rPr>
          <w:rFonts w:ascii="Tinos" w:hAnsi="Tinos" w:eastAsia="Tinos" w:cs="Tinos"/>
          <w:bCs/>
        </w:rPr>
        <w:t xml:space="preserve">Транспортные средства проходят входной контроль, осуществляемый представителями АО «Россети Сибирь Тываэнерго» с представителем участника при получении транспортных средств на склад.</w:t>
      </w:r>
      <w:r>
        <w:rPr>
          <w:rFonts w:ascii="Tinos" w:hAnsi="Tinos" w:cs="Tinos"/>
          <w:bCs/>
        </w:rPr>
      </w:r>
    </w:p>
    <w:p>
      <w:pPr>
        <w:jc w:val="both"/>
        <w:spacing w:after="0" w:line="17" w:lineRule="atLeast"/>
        <w:widowControl w:val="off"/>
        <w:tabs>
          <w:tab w:val="left" w:pos="709" w:leader="none"/>
          <w:tab w:val="num" w:pos="1985" w:leader="none"/>
          <w:tab w:val="num" w:pos="2345" w:leader="none"/>
        </w:tabs>
        <w:rPr>
          <w:rFonts w:ascii="Tinos" w:hAnsi="Tinos" w:cs="Tinos"/>
          <w:b/>
          <w:bCs/>
        </w:rPr>
      </w:pPr>
      <w:r>
        <w:rPr>
          <w:rFonts w:ascii="Tinos" w:hAnsi="Tinos" w:eastAsia="Tinos" w:cs="Tinos"/>
          <w:bCs/>
          <w:spacing w:val="-4"/>
        </w:rPr>
        <w:t xml:space="preserve">8.2. </w:t>
      </w:r>
      <w:r>
        <w:rPr>
          <w:rFonts w:ascii="Tinos" w:hAnsi="Tinos" w:eastAsia="Tinos" w:cs="Tinos"/>
          <w:spacing w:val="-4"/>
        </w:rPr>
        <w:t xml:space="preserve">Приемка по качеству производится в соответствии с законодательством</w:t>
      </w:r>
      <w:r>
        <w:rPr>
          <w:rFonts w:ascii="Tinos" w:hAnsi="Tinos" w:eastAsia="Tinos" w:cs="Tinos"/>
        </w:rPr>
        <w:t xml:space="preserve"> Российской Федерации (ст. 513 ГК РФ) и условиями Договора.</w:t>
      </w:r>
      <w:r>
        <w:rPr>
          <w:rFonts w:ascii="Tinos" w:hAnsi="Tinos" w:cs="Tinos"/>
          <w:b/>
          <w:bCs/>
        </w:rPr>
      </w:r>
    </w:p>
    <w:p>
      <w:pPr>
        <w:jc w:val="both"/>
        <w:spacing w:after="0" w:line="17" w:lineRule="atLeast"/>
        <w:widowControl w:val="off"/>
        <w:tabs>
          <w:tab w:val="left" w:pos="709" w:leader="none"/>
          <w:tab w:val="left" w:pos="1276" w:leader="none"/>
          <w:tab w:val="num" w:pos="1985" w:leader="none"/>
          <w:tab w:val="num" w:pos="2345" w:leader="none"/>
        </w:tabs>
        <w:rPr>
          <w:rFonts w:ascii="Tinos" w:hAnsi="Tinos" w:cs="Tinos"/>
          <w:bCs/>
        </w:rPr>
      </w:pPr>
      <w:r>
        <w:rPr>
          <w:rFonts w:ascii="Tinos" w:hAnsi="Tinos" w:eastAsia="Tinos" w:cs="Tinos"/>
          <w:bCs/>
        </w:rPr>
        <w:t xml:space="preserve">8.3. </w:t>
      </w:r>
      <w:r>
        <w:rPr>
          <w:rFonts w:ascii="Tinos" w:hAnsi="Tinos" w:eastAsia="Tinos" w:cs="Tinos"/>
        </w:rPr>
        <w:t xml:space="preserve">Приемка по количеству производится </w:t>
      </w:r>
      <w:r>
        <w:rPr>
          <w:rFonts w:ascii="Tinos" w:hAnsi="Tinos" w:eastAsia="Tinos" w:cs="Tinos"/>
        </w:rPr>
        <w:t xml:space="preserve">в соответствии с законодательством Российской Федерации (ст. 513 ГК РФ) и условиями Договора.</w:t>
      </w:r>
      <w:r>
        <w:rPr>
          <w:rFonts w:ascii="Tinos" w:hAnsi="Tinos" w:cs="Tinos"/>
          <w:bCs/>
        </w:rPr>
      </w:r>
    </w:p>
    <w:p>
      <w:pPr>
        <w:jc w:val="both"/>
        <w:spacing w:after="0" w:line="17" w:lineRule="atLeast"/>
        <w:widowControl w:val="off"/>
        <w:tabs>
          <w:tab w:val="left" w:pos="709" w:leader="none"/>
          <w:tab w:val="left" w:pos="1276" w:leader="none"/>
          <w:tab w:val="num" w:pos="1985" w:leader="none"/>
          <w:tab w:val="num" w:pos="2345" w:leader="none"/>
        </w:tabs>
        <w:rPr>
          <w:rFonts w:ascii="Tinos" w:hAnsi="Tinos" w:cs="Tinos"/>
          <w:bCs/>
        </w:rPr>
      </w:pPr>
      <w:r>
        <w:rPr>
          <w:rFonts w:ascii="Tinos" w:hAnsi="Tinos" w:eastAsia="Tinos" w:cs="Tinos"/>
          <w:bCs/>
        </w:rPr>
        <w:t xml:space="preserve">8.4. </w:t>
      </w:r>
      <w:r>
        <w:rPr>
          <w:rFonts w:ascii="Tinos" w:hAnsi="Tinos" w:eastAsia="Tinos" w:cs="Tinos"/>
        </w:rPr>
        <w:t xml:space="preserve">Поставщик предъявляет Товар для осмотра Покупателю и передает документы, указанные в п. 7.3. Договора. При приемке Товара представители Поставщика и Покупате</w:t>
      </w:r>
      <w:r>
        <w:rPr>
          <w:rFonts w:ascii="Tinos" w:hAnsi="Tinos" w:eastAsia="Tinos" w:cs="Tinos"/>
        </w:rPr>
        <w:t xml:space="preserve">ля осуществляют:</w:t>
      </w:r>
      <w:r>
        <w:rPr>
          <w:rFonts w:ascii="Tinos" w:hAnsi="Tinos" w:cs="Tinos"/>
          <w:bCs/>
        </w:rPr>
      </w:r>
    </w:p>
    <w:p>
      <w:pPr>
        <w:jc w:val="both"/>
        <w:spacing w:after="0" w:line="17" w:lineRule="atLeast"/>
        <w:widowControl w:val="off"/>
        <w:tabs>
          <w:tab w:val="left" w:pos="0" w:leader="none"/>
          <w:tab w:val="left" w:pos="910" w:leader="none"/>
          <w:tab w:val="num" w:pos="1418" w:leader="none"/>
        </w:tabs>
        <w:rPr>
          <w:rFonts w:ascii="Tinos" w:hAnsi="Tinos" w:cs="Tinos"/>
        </w:rPr>
      </w:pPr>
      <w:r>
        <w:rPr>
          <w:rFonts w:ascii="Tinos" w:hAnsi="Tinos" w:eastAsia="Tinos" w:cs="Tinos"/>
        </w:rPr>
        <w:t xml:space="preserve">-   внешний осмотр тары и упаковки;</w:t>
      </w:r>
      <w:r>
        <w:rPr>
          <w:rFonts w:ascii="Tinos" w:hAnsi="Tinos" w:cs="Tinos"/>
        </w:rPr>
      </w:r>
    </w:p>
    <w:p>
      <w:pPr>
        <w:jc w:val="both"/>
        <w:spacing w:after="0" w:line="17" w:lineRule="atLeast"/>
        <w:widowControl w:val="off"/>
        <w:tabs>
          <w:tab w:val="left" w:pos="0" w:leader="none"/>
          <w:tab w:val="left" w:pos="910" w:leader="none"/>
          <w:tab w:val="num" w:pos="1418" w:leader="none"/>
        </w:tabs>
        <w:rPr>
          <w:rFonts w:ascii="Tinos" w:hAnsi="Tinos" w:cs="Tinos"/>
        </w:rPr>
      </w:pPr>
      <w:r>
        <w:rPr>
          <w:rFonts w:ascii="Tinos" w:hAnsi="Tinos" w:eastAsia="Tinos" w:cs="Tinos"/>
        </w:rPr>
        <w:t xml:space="preserve">-   проверку соответствия количества отгруженных и поступивших поставочных мест;</w:t>
      </w:r>
      <w:r>
        <w:rPr>
          <w:rFonts w:ascii="Tinos" w:hAnsi="Tinos" w:cs="Tinos"/>
        </w:rPr>
      </w:r>
    </w:p>
    <w:p>
      <w:pPr>
        <w:jc w:val="both"/>
        <w:spacing w:after="0" w:line="17" w:lineRule="atLeast"/>
        <w:widowControl w:val="off"/>
        <w:tabs>
          <w:tab w:val="left" w:pos="0" w:leader="none"/>
          <w:tab w:val="left" w:pos="910" w:leader="none"/>
          <w:tab w:val="num" w:pos="1418" w:leader="none"/>
        </w:tabs>
        <w:rPr>
          <w:rFonts w:ascii="Tinos" w:hAnsi="Tinos" w:cs="Tinos"/>
        </w:rPr>
      </w:pPr>
      <w:r>
        <w:rPr>
          <w:rFonts w:ascii="Tinos" w:hAnsi="Tinos" w:eastAsia="Tinos" w:cs="Tinos"/>
        </w:rPr>
        <w:t xml:space="preserve">- проверку соответствия содержимого </w:t>
      </w:r>
      <w:r>
        <w:rPr>
          <w:rFonts w:ascii="Tinos" w:hAnsi="Tinos" w:eastAsia="Tinos" w:cs="Tinos"/>
          <w:iCs/>
        </w:rPr>
        <w:t xml:space="preserve">упаковки </w:t>
      </w:r>
      <w:r>
        <w:rPr>
          <w:rFonts w:ascii="Tinos" w:hAnsi="Tinos" w:eastAsia="Tinos" w:cs="Tinos"/>
        </w:rPr>
        <w:t xml:space="preserve">предмету Договора, упаковочным листам и характеристикам, указанным в товаросо</w:t>
      </w:r>
      <w:r>
        <w:rPr>
          <w:rFonts w:ascii="Tinos" w:hAnsi="Tinos" w:eastAsia="Tinos" w:cs="Tinos"/>
        </w:rPr>
        <w:t xml:space="preserve">проводительной документации (общий обычный осмотр).</w:t>
      </w:r>
      <w:r>
        <w:rPr>
          <w:rFonts w:ascii="Tinos" w:hAnsi="Tinos" w:cs="Tinos"/>
        </w:rPr>
      </w:r>
    </w:p>
    <w:p>
      <w:pPr>
        <w:jc w:val="both"/>
        <w:spacing w:after="0" w:line="17" w:lineRule="atLeast"/>
        <w:widowControl w:val="off"/>
        <w:tabs>
          <w:tab w:val="num" w:pos="567" w:leader="none"/>
          <w:tab w:val="num" w:pos="1418" w:leader="none"/>
        </w:tabs>
        <w:rPr>
          <w:rFonts w:ascii="Tinos" w:hAnsi="Tinos" w:cs="Tinos"/>
        </w:rPr>
      </w:pPr>
      <w:r>
        <w:rPr>
          <w:rFonts w:ascii="Tinos" w:hAnsi="Tinos" w:eastAsia="Tinos" w:cs="Tinos"/>
        </w:rPr>
        <w:t xml:space="preserve">Результаты приемки оформляются Товарной накладной (ТОРГ-12) </w:t>
      </w:r>
      <w:r>
        <w:rPr>
          <w:rStyle w:val="1333"/>
          <w:rFonts w:ascii="Tinos" w:hAnsi="Tinos" w:eastAsia="Tinos" w:cs="Tinos"/>
        </w:rPr>
        <w:footnoteReference w:id="6"/>
      </w:r>
      <w:r>
        <w:rPr>
          <w:rFonts w:ascii="Tinos" w:hAnsi="Tinos" w:eastAsia="Tinos" w:cs="Tinos"/>
        </w:rPr>
        <w:t xml:space="preserve">. </w:t>
      </w:r>
      <w:r>
        <w:rPr>
          <w:rFonts w:ascii="Tinos" w:hAnsi="Tinos" w:cs="Tinos"/>
        </w:rPr>
      </w:r>
    </w:p>
    <w:p>
      <w:pPr>
        <w:jc w:val="both"/>
        <w:spacing w:after="0" w:line="17" w:lineRule="atLeast"/>
        <w:widowControl w:val="off"/>
        <w:tabs>
          <w:tab w:val="num" w:pos="567" w:leader="none"/>
          <w:tab w:val="num" w:pos="1626" w:leader="none"/>
        </w:tabs>
        <w:rPr>
          <w:rFonts w:ascii="Tinos" w:hAnsi="Tinos" w:cs="Tinos"/>
        </w:rPr>
      </w:pPr>
      <w:r>
        <w:rPr>
          <w:rFonts w:ascii="Tinos" w:hAnsi="Tinos" w:eastAsia="Tinos" w:cs="Tinos"/>
        </w:rPr>
        <w:t xml:space="preserve">Передача товара без уполномоченного представителя Покупателя не допускается.</w:t>
      </w:r>
      <w:r>
        <w:rPr>
          <w:rFonts w:ascii="Tinos" w:hAnsi="Tinos" w:cs="Tinos"/>
        </w:rPr>
      </w:r>
    </w:p>
    <w:p>
      <w:pPr>
        <w:jc w:val="both"/>
        <w:spacing w:after="0" w:line="17" w:lineRule="atLeast"/>
        <w:widowControl w:val="off"/>
        <w:tabs>
          <w:tab w:val="num" w:pos="567" w:leader="none"/>
          <w:tab w:val="num" w:pos="1626" w:leader="none"/>
        </w:tabs>
        <w:rPr>
          <w:rFonts w:ascii="Tinos" w:hAnsi="Tinos" w:cs="Tinos"/>
          <w:spacing w:val="-4"/>
        </w:rPr>
      </w:pPr>
      <w:r>
        <w:rPr>
          <w:rFonts w:ascii="Tinos" w:hAnsi="Tinos" w:eastAsia="Tinos" w:cs="Tinos"/>
        </w:rPr>
        <w:t xml:space="preserve">8.5</w:t>
      </w:r>
      <w:r>
        <w:rPr>
          <w:rFonts w:ascii="Tinos" w:hAnsi="Tinos" w:eastAsia="Tinos" w:cs="Tinos"/>
          <w:spacing w:val="-4"/>
        </w:rPr>
        <w:t xml:space="preserve">. Поставщик одновременно с передачей Товара направляет Покуп</w:t>
      </w:r>
      <w:r>
        <w:rPr>
          <w:rFonts w:ascii="Tinos" w:hAnsi="Tinos" w:eastAsia="Tinos" w:cs="Tinos"/>
          <w:spacing w:val="-4"/>
        </w:rPr>
        <w:t xml:space="preserve">ателю:</w:t>
      </w:r>
      <w:r>
        <w:rPr>
          <w:rFonts w:ascii="Tinos" w:hAnsi="Tinos" w:cs="Tinos"/>
          <w:spacing w:val="-4"/>
        </w:rPr>
      </w:r>
    </w:p>
    <w:p>
      <w:pPr>
        <w:jc w:val="both"/>
        <w:spacing w:after="0" w:line="17" w:lineRule="atLeast"/>
        <w:widowControl w:val="off"/>
        <w:tabs>
          <w:tab w:val="num" w:pos="567" w:leader="none"/>
          <w:tab w:val="num" w:pos="1626" w:leader="none"/>
        </w:tabs>
        <w:rPr>
          <w:rFonts w:ascii="Tinos" w:hAnsi="Tinos" w:cs="Tinos"/>
        </w:rPr>
      </w:pPr>
      <w:r>
        <w:rPr>
          <w:rFonts w:ascii="Tinos" w:hAnsi="Tinos" w:eastAsia="Tinos" w:cs="Tinos"/>
          <w:spacing w:val="-4"/>
        </w:rPr>
        <w:t xml:space="preserve">-  универсальный передаточный документ/ ТОРГ -12;</w:t>
      </w:r>
      <w:r>
        <w:rPr>
          <w:rFonts w:ascii="Tinos" w:hAnsi="Tinos" w:cs="Tinos"/>
        </w:rPr>
      </w:r>
    </w:p>
    <w:p>
      <w:pPr>
        <w:pStyle w:val="1315"/>
        <w:ind w:left="0"/>
        <w:jc w:val="both"/>
        <w:spacing w:line="17" w:lineRule="atLeast"/>
        <w:tabs>
          <w:tab w:val="left" w:pos="993" w:leader="none"/>
        </w:tabs>
        <w:rPr>
          <w:rFonts w:ascii="Tinos" w:hAnsi="Tinos" w:cs="Tinos"/>
          <w:sz w:val="22"/>
          <w:szCs w:val="22"/>
        </w:rPr>
      </w:pPr>
      <w:r>
        <w:rPr>
          <w:rFonts w:ascii="Tinos" w:hAnsi="Tinos" w:eastAsia="Tinos" w:cs="Tinos"/>
          <w:sz w:val="22"/>
          <w:szCs w:val="22"/>
        </w:rPr>
        <w:t xml:space="preserve">- счет-фактуру, оформленную в соответствии с требованиями налогового законодательства Российской Федерации</w:t>
      </w:r>
      <w:r>
        <w:rPr>
          <w:rStyle w:val="1333"/>
          <w:rFonts w:ascii="Tinos" w:hAnsi="Tinos" w:eastAsia="Tinos" w:cs="Tinos"/>
          <w:sz w:val="22"/>
          <w:szCs w:val="22"/>
        </w:rPr>
        <w:footnoteReference w:id="7"/>
      </w:r>
      <w:r>
        <w:rPr>
          <w:rFonts w:ascii="Tinos" w:hAnsi="Tinos" w:eastAsia="Tinos" w:cs="Tinos"/>
          <w:sz w:val="22"/>
          <w:szCs w:val="22"/>
        </w:rPr>
        <w:t xml:space="preserve">.</w:t>
      </w:r>
      <w:r>
        <w:rPr>
          <w:rFonts w:ascii="Tinos" w:hAnsi="Tinos" w:cs="Tinos"/>
          <w:sz w:val="22"/>
          <w:szCs w:val="22"/>
        </w:rPr>
      </w:r>
    </w:p>
    <w:p>
      <w:pPr>
        <w:pStyle w:val="1315"/>
        <w:ind w:left="0"/>
        <w:jc w:val="both"/>
        <w:spacing w:line="17" w:lineRule="atLeast"/>
        <w:tabs>
          <w:tab w:val="left" w:pos="993" w:leader="none"/>
        </w:tabs>
        <w:rPr>
          <w:rFonts w:ascii="Tinos" w:hAnsi="Tinos" w:cs="Tinos"/>
          <w:sz w:val="22"/>
          <w:szCs w:val="22"/>
        </w:rPr>
      </w:pPr>
      <w:r>
        <w:rPr>
          <w:rFonts w:ascii="Tinos" w:hAnsi="Tinos" w:eastAsia="Tinos" w:cs="Tinos"/>
          <w:sz w:val="22"/>
          <w:szCs w:val="22"/>
        </w:rPr>
        <w:t xml:space="preserve">- документы, подтверждающие полномочия лиц, подписывающих акты, накладные, счета, счета-фа</w:t>
      </w:r>
      <w:r>
        <w:rPr>
          <w:rFonts w:ascii="Tinos" w:hAnsi="Tinos" w:eastAsia="Tinos" w:cs="Tinos"/>
          <w:sz w:val="22"/>
          <w:szCs w:val="22"/>
        </w:rPr>
        <w:t xml:space="preserve">ктуры и иные первичные учетные документы (заверенные надлежащим образом приказы, распоряжения, доверенности или иные аналогичные документы), в случае, если право их подписи предоставлено иным лицам, кроме руководителя Поставщика.</w:t>
      </w:r>
      <w:r>
        <w:rPr>
          <w:rFonts w:ascii="Tinos" w:hAnsi="Tinos" w:cs="Tinos"/>
          <w:sz w:val="22"/>
          <w:szCs w:val="22"/>
        </w:rPr>
      </w:r>
    </w:p>
    <w:p>
      <w:pPr>
        <w:pStyle w:val="1315"/>
        <w:ind w:left="0"/>
        <w:jc w:val="both"/>
        <w:spacing w:line="17" w:lineRule="atLeast"/>
        <w:tabs>
          <w:tab w:val="left" w:pos="993" w:leader="none"/>
        </w:tabs>
        <w:rPr>
          <w:rFonts w:ascii="Tinos" w:hAnsi="Tinos" w:cs="Tinos"/>
          <w:sz w:val="22"/>
          <w:szCs w:val="22"/>
        </w:rPr>
      </w:pPr>
      <w:r>
        <w:rPr>
          <w:rFonts w:ascii="Tinos" w:hAnsi="Tinos" w:eastAsia="Tinos" w:cs="Tinos"/>
          <w:sz w:val="22"/>
          <w:szCs w:val="22"/>
        </w:rPr>
        <w:t xml:space="preserve">-  при поставке импортного</w:t>
      </w:r>
      <w:r>
        <w:rPr>
          <w:rFonts w:ascii="Tinos" w:hAnsi="Tinos" w:eastAsia="Tinos" w:cs="Tinos"/>
          <w:sz w:val="22"/>
          <w:szCs w:val="22"/>
        </w:rPr>
        <w:t xml:space="preserve"> Товара - документы, указанные в п. 7.3.9 Договора.</w:t>
      </w:r>
      <w:r>
        <w:rPr>
          <w:rFonts w:ascii="Tinos" w:hAnsi="Tinos" w:cs="Tinos"/>
          <w:sz w:val="22"/>
          <w:szCs w:val="22"/>
        </w:rPr>
      </w:r>
    </w:p>
    <w:p>
      <w:pPr>
        <w:pStyle w:val="1315"/>
        <w:ind w:left="0"/>
        <w:jc w:val="both"/>
        <w:spacing w:line="17" w:lineRule="atLeast"/>
        <w:tabs>
          <w:tab w:val="left" w:pos="993" w:leader="none"/>
        </w:tabs>
        <w:rPr>
          <w:rFonts w:ascii="Tinos" w:hAnsi="Tinos" w:cs="Tinos"/>
          <w:sz w:val="22"/>
          <w:szCs w:val="22"/>
        </w:rPr>
      </w:pPr>
      <w:r>
        <w:rPr>
          <w:rFonts w:ascii="Tinos" w:hAnsi="Tinos" w:eastAsia="Tinos" w:cs="Tinos"/>
          <w:sz w:val="22"/>
          <w:szCs w:val="22"/>
        </w:rPr>
        <w:t xml:space="preserve">- товарно-транспортную накладную, составленную по типовой межотраслевой форме № 1-Т, утвержденной постановлением Госкомстата России от 28.11.1997 № 78 (в случае, если доставка Товара осуществлялась автомо</w:t>
      </w:r>
      <w:r>
        <w:rPr>
          <w:rFonts w:ascii="Tinos" w:hAnsi="Tinos" w:eastAsia="Tinos" w:cs="Tinos"/>
          <w:sz w:val="22"/>
          <w:szCs w:val="22"/>
        </w:rPr>
        <w:t xml:space="preserve">бильным транспортом).</w:t>
      </w:r>
      <w:r>
        <w:rPr>
          <w:rFonts w:ascii="Tinos" w:hAnsi="Tinos" w:cs="Tinos"/>
          <w:sz w:val="22"/>
          <w:szCs w:val="22"/>
        </w:rPr>
      </w:r>
    </w:p>
    <w:p>
      <w:pPr>
        <w:pStyle w:val="1315"/>
        <w:ind w:left="0"/>
        <w:jc w:val="both"/>
        <w:spacing w:line="17" w:lineRule="atLeast"/>
        <w:tabs>
          <w:tab w:val="left" w:pos="993" w:leader="none"/>
        </w:tabs>
        <w:rPr>
          <w:rFonts w:ascii="Tinos" w:hAnsi="Tinos" w:cs="Tinos"/>
          <w:sz w:val="22"/>
          <w:szCs w:val="22"/>
        </w:rPr>
      </w:pPr>
      <w:r>
        <w:rPr>
          <w:rFonts w:ascii="Tinos" w:hAnsi="Tinos" w:eastAsia="Tinos" w:cs="Tinos"/>
          <w:sz w:val="22"/>
          <w:szCs w:val="22"/>
        </w:rPr>
        <w:t xml:space="preserve">В случае поставки импортного товара, подлежащего прослеживаемости в соответствии с постановлением Правительства Российской Федерации от 01.07.2021 № 1108 «Об утверждении Положения о национальной системе прослеживаемости товаров», Пост</w:t>
      </w:r>
      <w:r>
        <w:rPr>
          <w:rFonts w:ascii="Tinos" w:hAnsi="Tinos" w:eastAsia="Tinos" w:cs="Tinos"/>
          <w:sz w:val="22"/>
          <w:szCs w:val="22"/>
        </w:rPr>
        <w:t xml:space="preserve">авщик обязан предоставить Покупателю счет-фактуру с заполнением реквизитов прослеживаемости Товара</w:t>
      </w:r>
      <w:r>
        <w:rPr>
          <w:rStyle w:val="1333"/>
          <w:rFonts w:ascii="Tinos" w:hAnsi="Tinos" w:eastAsia="Tinos" w:cs="Tinos"/>
          <w:sz w:val="22"/>
          <w:szCs w:val="22"/>
        </w:rPr>
        <w:footnoteReference w:id="8"/>
      </w:r>
      <w:r>
        <w:rPr>
          <w:rFonts w:ascii="Tinos" w:hAnsi="Tinos" w:eastAsia="Tinos" w:cs="Tinos"/>
          <w:sz w:val="22"/>
          <w:szCs w:val="22"/>
        </w:rPr>
        <w:t xml:space="preserve">.</w:t>
      </w:r>
      <w:r>
        <w:rPr>
          <w:rFonts w:ascii="Tinos" w:hAnsi="Tinos" w:cs="Tinos"/>
          <w:sz w:val="22"/>
          <w:szCs w:val="22"/>
        </w:rPr>
      </w:r>
    </w:p>
    <w:p>
      <w:pPr>
        <w:jc w:val="both"/>
        <w:spacing w:after="0" w:line="17" w:lineRule="atLeast"/>
        <w:widowControl w:val="off"/>
        <w:tabs>
          <w:tab w:val="num" w:pos="1626" w:leader="none"/>
          <w:tab w:val="num" w:pos="1909" w:leader="none"/>
        </w:tabs>
        <w:rPr>
          <w:rFonts w:ascii="Tinos" w:hAnsi="Tinos" w:cs="Tinos"/>
        </w:rPr>
      </w:pPr>
      <w:r>
        <w:rPr>
          <w:rFonts w:ascii="Tinos" w:hAnsi="Tinos" w:eastAsia="Tinos" w:cs="Tinos"/>
        </w:rPr>
        <w:t xml:space="preserve">8.6. При обнаружении Покупателем в ходе приемки Товара нарушений тре</w:t>
      </w:r>
      <w:r>
        <w:rPr>
          <w:rFonts w:ascii="Tinos" w:hAnsi="Tinos" w:eastAsia="Tinos" w:cs="Tinos"/>
        </w:rPr>
        <w:t xml:space="preserve">бований Договора Сторонами в свободной форме составляется рекламационный акт, в котором указываются общее количество принятого Товара, выявленные нарушения, сроки устранения недостатков, иные необходимые сведения. Рекламационный акт является основанием для</w:t>
      </w:r>
      <w:r>
        <w:rPr>
          <w:rFonts w:ascii="Tinos" w:hAnsi="Tinos" w:eastAsia="Tinos" w:cs="Tinos"/>
        </w:rPr>
        <w:t xml:space="preserve"> Покупателя не принимать и не оплачивать Товар, поставленный с нарушением условий Договора.</w:t>
      </w:r>
      <w:r>
        <w:rPr>
          <w:rFonts w:ascii="Tinos" w:hAnsi="Tinos" w:cs="Tinos"/>
        </w:rPr>
      </w:r>
    </w:p>
    <w:p>
      <w:pPr>
        <w:jc w:val="both"/>
        <w:spacing w:after="0" w:line="17" w:lineRule="atLeast"/>
        <w:widowControl w:val="off"/>
        <w:tabs>
          <w:tab w:val="num" w:pos="2340" w:leader="none"/>
        </w:tabs>
        <w:rPr>
          <w:rFonts w:ascii="Tinos" w:hAnsi="Tinos" w:cs="Tinos"/>
        </w:rPr>
      </w:pPr>
      <w:r>
        <w:rPr>
          <w:rFonts w:ascii="Tinos" w:hAnsi="Tinos" w:eastAsia="Tinos" w:cs="Tinos"/>
          <w:spacing w:val="-4"/>
        </w:rPr>
        <w:t xml:space="preserve">В случае если приемка Товара осуществляется в отсутствие представителя </w:t>
      </w:r>
      <w:r>
        <w:rPr>
          <w:rFonts w:ascii="Tinos" w:hAnsi="Tinos" w:eastAsia="Tinos" w:cs="Tinos"/>
        </w:rPr>
        <w:t xml:space="preserve">Поставщика, Покупатель обязан приостановить приемку и незамедлительно направить Поставщику ув</w:t>
      </w:r>
      <w:r>
        <w:rPr>
          <w:rFonts w:ascii="Tinos" w:hAnsi="Tinos" w:eastAsia="Tinos" w:cs="Tinos"/>
        </w:rPr>
        <w:t xml:space="preserve">едомление об обнаружении недостатков, о дате и времени возобновления приемки Товара. В случае неявки для приемки Товара уполномоченных представителей Поставщика приемка Товара производится Покупателем в </w:t>
      </w:r>
      <w:r>
        <w:rPr>
          <w:rFonts w:ascii="Tinos" w:hAnsi="Tinos" w:eastAsia="Tinos" w:cs="Tinos"/>
        </w:rPr>
        <w:t xml:space="preserve">одностороннем порядке, а в рекламационном акте делает</w:t>
      </w:r>
      <w:r>
        <w:rPr>
          <w:rFonts w:ascii="Tinos" w:hAnsi="Tinos" w:eastAsia="Tinos" w:cs="Tinos"/>
        </w:rPr>
        <w:t xml:space="preserve">ся соответствующая отметка о причине его оформления в отсутствие уполномоченного представителя Поставщика. Поставщик обязан возместить расходы Покупателя, вызванные задержкой приемки Товара, в том числе в связи с простоем и хранением груза.</w:t>
      </w:r>
      <w:r>
        <w:rPr>
          <w:rFonts w:ascii="Tinos" w:hAnsi="Tinos" w:cs="Tinos"/>
        </w:rPr>
      </w:r>
    </w:p>
    <w:p>
      <w:pPr>
        <w:jc w:val="both"/>
        <w:spacing w:after="0" w:line="17" w:lineRule="atLeast"/>
        <w:widowControl w:val="off"/>
        <w:tabs>
          <w:tab w:val="num" w:pos="2340" w:leader="none"/>
        </w:tabs>
        <w:rPr>
          <w:rFonts w:ascii="Tinos" w:hAnsi="Tinos" w:cs="Tinos"/>
        </w:rPr>
      </w:pPr>
      <w:r>
        <w:rPr>
          <w:rFonts w:ascii="Tinos" w:hAnsi="Tinos" w:eastAsia="Tinos" w:cs="Tinos"/>
        </w:rPr>
        <w:t xml:space="preserve">8.7. В случаях,</w:t>
      </w:r>
      <w:r>
        <w:rPr>
          <w:rFonts w:ascii="Tinos" w:hAnsi="Tinos" w:eastAsia="Tinos" w:cs="Tinos"/>
        </w:rPr>
        <w:t xml:space="preserve"> когда повреждения упаковки или недостача Товара или отдельных его частей не могли быть обнаружены при общем обычном осмотре, Покупатель вправе заявлять претензии по количеству Товара в течение 60 рабочих дней с даты подписания Товарной накладной (ТОРГ-12)</w:t>
      </w:r>
      <w:r>
        <w:rPr>
          <w:rStyle w:val="1333"/>
          <w:rFonts w:ascii="Tinos" w:hAnsi="Tinos" w:eastAsia="Tinos" w:cs="Tinos"/>
        </w:rPr>
        <w:footnoteReference w:id="9"/>
      </w:r>
      <w:r>
        <w:rPr>
          <w:rFonts w:ascii="Tinos" w:hAnsi="Tinos" w:eastAsia="Tinos" w:cs="Tinos"/>
        </w:rPr>
        <w:t xml:space="preserve">. В этом случае </w:t>
      </w:r>
      <w:r>
        <w:rPr>
          <w:rFonts w:ascii="Tinos" w:hAnsi="Tinos" w:eastAsia="Tinos" w:cs="Tinos"/>
          <w:spacing w:val="-4"/>
        </w:rPr>
        <w:t xml:space="preserve">Поставщик обязан устранить выявленные нарушения в сроки, указанные в п. 8.9</w:t>
      </w:r>
      <w:r>
        <w:rPr>
          <w:rFonts w:ascii="Tinos" w:hAnsi="Tinos" w:eastAsia="Tinos" w:cs="Tinos"/>
        </w:rPr>
        <w:t xml:space="preserve"> Договора.</w:t>
      </w:r>
      <w:r>
        <w:rPr>
          <w:rFonts w:ascii="Tinos" w:hAnsi="Tinos" w:cs="Tinos"/>
        </w:rPr>
      </w:r>
    </w:p>
    <w:p>
      <w:pPr>
        <w:jc w:val="both"/>
        <w:spacing w:after="0" w:line="17" w:lineRule="atLeast"/>
        <w:widowControl w:val="off"/>
        <w:tabs>
          <w:tab w:val="num" w:pos="1626" w:leader="none"/>
          <w:tab w:val="num" w:pos="1909" w:leader="none"/>
        </w:tabs>
        <w:rPr>
          <w:rFonts w:ascii="Tinos" w:hAnsi="Tinos" w:cs="Tinos"/>
        </w:rPr>
      </w:pPr>
      <w:r>
        <w:rPr>
          <w:rFonts w:ascii="Tinos" w:hAnsi="Tinos" w:eastAsia="Tinos" w:cs="Tinos"/>
        </w:rPr>
        <w:t xml:space="preserve">8.8. Покупатель вправе принять Товар без проведения предварительной проверки его качества, если Товар находится в надлежащей таре и упаковке и у него отс</w:t>
      </w:r>
      <w:r>
        <w:rPr>
          <w:rFonts w:ascii="Tinos" w:hAnsi="Tinos" w:eastAsia="Tinos" w:cs="Tinos"/>
        </w:rPr>
        <w:t xml:space="preserve">утствуют видимые недостатки. Покупатель вправе после приемки Товара по количеству в течение 60 (шестидесяти) рабочих дней при осуществлении входного контроля проверить качество Товара, в том числе путем проведения необходимых испытаний и, в случае обнаруже</w:t>
      </w:r>
      <w:r>
        <w:rPr>
          <w:rFonts w:ascii="Tinos" w:hAnsi="Tinos" w:eastAsia="Tinos" w:cs="Tinos"/>
        </w:rPr>
        <w:t xml:space="preserve">ния недостатков, письменно уведомить об этом Поставщика. В этом случае Поставщик обязан устранить выявленные нарушения в сроки, указанные в п. 8.9 Договора.</w:t>
      </w:r>
      <w:r>
        <w:rPr>
          <w:rFonts w:ascii="Tinos" w:hAnsi="Tinos" w:cs="Tinos"/>
        </w:rPr>
      </w:r>
    </w:p>
    <w:p>
      <w:pPr>
        <w:jc w:val="both"/>
        <w:spacing w:after="0" w:line="17" w:lineRule="atLeast"/>
        <w:widowControl w:val="off"/>
        <w:tabs>
          <w:tab w:val="num" w:pos="1626" w:leader="none"/>
          <w:tab w:val="num" w:pos="1909" w:leader="none"/>
        </w:tabs>
        <w:rPr>
          <w:rFonts w:ascii="Tinos" w:hAnsi="Tinos" w:cs="Tinos"/>
        </w:rPr>
      </w:pPr>
      <w:r>
        <w:rPr>
          <w:rFonts w:ascii="Tinos" w:hAnsi="Tinos" w:eastAsia="Tinos" w:cs="Tinos"/>
        </w:rPr>
        <w:t xml:space="preserve">8.9. В случае несоответствия поставленного Товара условиям Договора по комплектности, количеству и/</w:t>
      </w:r>
      <w:r>
        <w:rPr>
          <w:rFonts w:ascii="Tinos" w:hAnsi="Tinos" w:eastAsia="Tinos" w:cs="Tinos"/>
        </w:rPr>
        <w:t xml:space="preserve">или качеству, упаковке, Поставщик обязан за свой счет по требованию Покупателя и в согласованный с ним срок, но не позднее 20 (двадцати) дней со дня получения требования Покупателя, восполнить недопоставку Товара, заменить его другим Товаром или выплатить </w:t>
      </w:r>
      <w:r>
        <w:rPr>
          <w:rFonts w:ascii="Tinos" w:hAnsi="Tinos" w:eastAsia="Tinos" w:cs="Tinos"/>
        </w:rPr>
        <w:t xml:space="preserve">Покупателю соответствующую денежную компенсацию согласно п. 10.8 Договора. С согласия Покупателя допускается восполнение Товара за пределами срока действия Договора. Восполнение недопоставки Товара или замена Товара не освобождает Поставщика от ответственн</w:t>
      </w:r>
      <w:r>
        <w:rPr>
          <w:rFonts w:ascii="Tinos" w:hAnsi="Tinos" w:eastAsia="Tinos" w:cs="Tinos"/>
        </w:rPr>
        <w:t xml:space="preserve">ости за просрочку исполнения обязательств по своевременной поставке Товара.</w:t>
      </w:r>
      <w:r>
        <w:rPr>
          <w:rFonts w:ascii="Tinos" w:hAnsi="Tinos" w:cs="Tinos"/>
        </w:rPr>
      </w:r>
    </w:p>
    <w:p>
      <w:pPr>
        <w:jc w:val="both"/>
        <w:spacing w:after="0" w:line="17" w:lineRule="atLeast"/>
        <w:widowControl w:val="off"/>
        <w:tabs>
          <w:tab w:val="num" w:pos="1701" w:leader="none"/>
          <w:tab w:val="num" w:pos="1909" w:leader="none"/>
        </w:tabs>
        <w:rPr>
          <w:rFonts w:ascii="Tinos" w:hAnsi="Tinos" w:cs="Tinos"/>
        </w:rPr>
      </w:pPr>
      <w:r>
        <w:rPr>
          <w:rFonts w:ascii="Tinos" w:hAnsi="Tinos" w:eastAsia="Tinos" w:cs="Tinos"/>
          <w:spacing w:val="-4"/>
        </w:rPr>
        <w:t xml:space="preserve">8.10. Покупатель вправе отказаться от Товара, поставленного с нарушением</w:t>
      </w:r>
      <w:r>
        <w:rPr>
          <w:rFonts w:ascii="Tinos" w:hAnsi="Tinos" w:eastAsia="Tinos" w:cs="Tinos"/>
        </w:rPr>
        <w:t xml:space="preserve"> номенклатуры, комплектности, количества и/или качества, упаковки, срока поставки. В этом случае Товар не пр</w:t>
      </w:r>
      <w:r>
        <w:rPr>
          <w:rFonts w:ascii="Tinos" w:hAnsi="Tinos" w:eastAsia="Tinos" w:cs="Tinos"/>
        </w:rPr>
        <w:t xml:space="preserve">инимается, не оплачивается и передается на ответственное хранение за счет Поставщика. Принятым на ответственное хранение Товаром Поставщик обязан распорядиться в пятидневный срок с момента получения извещения </w:t>
      </w:r>
      <w:r>
        <w:rPr>
          <w:rFonts w:ascii="Tinos" w:hAnsi="Tinos" w:eastAsia="Tinos" w:cs="Tinos"/>
          <w:spacing w:val="-4"/>
        </w:rPr>
        <w:t xml:space="preserve">об этом от Покупателя. В случае невыполнения эт</w:t>
      </w:r>
      <w:r>
        <w:rPr>
          <w:rFonts w:ascii="Tinos" w:hAnsi="Tinos" w:eastAsia="Tinos" w:cs="Tinos"/>
          <w:spacing w:val="-4"/>
        </w:rPr>
        <w:t xml:space="preserve">ого условия Покупатель вправе</w:t>
      </w:r>
      <w:r>
        <w:rPr>
          <w:rFonts w:ascii="Tinos" w:hAnsi="Tinos" w:eastAsia="Tinos" w:cs="Tinos"/>
        </w:rPr>
        <w:t xml:space="preserve"> распорядиться Товаром согласно ст. 514 ГК РФ.</w:t>
      </w:r>
      <w:r>
        <w:rPr>
          <w:rFonts w:ascii="Tinos" w:hAnsi="Tinos" w:cs="Tinos"/>
        </w:rPr>
      </w:r>
    </w:p>
    <w:p>
      <w:pPr>
        <w:jc w:val="both"/>
        <w:spacing w:after="0" w:line="17" w:lineRule="atLeast"/>
        <w:widowControl w:val="off"/>
        <w:tabs>
          <w:tab w:val="num" w:pos="1701" w:leader="none"/>
          <w:tab w:val="num" w:pos="1909" w:leader="none"/>
        </w:tabs>
        <w:rPr>
          <w:rFonts w:ascii="Tinos" w:hAnsi="Tinos" w:cs="Tinos"/>
        </w:rPr>
      </w:pPr>
      <w:r>
        <w:rPr>
          <w:rFonts w:ascii="Tinos" w:hAnsi="Tinos" w:eastAsia="Tinos" w:cs="Tinos"/>
        </w:rPr>
        <w:t xml:space="preserve">8.11. Поставщик компенсирует Покупателю расходы на осуществление приемки в случаях выявления некачественного товара (на услуги эксперта, на охрану во время приемки и т.п.). Покупат</w:t>
      </w:r>
      <w:r>
        <w:rPr>
          <w:rFonts w:ascii="Tinos" w:hAnsi="Tinos" w:eastAsia="Tinos" w:cs="Tinos"/>
        </w:rPr>
        <w:t xml:space="preserve">ель должен документально подтвердить эти затраты. </w:t>
      </w:r>
      <w:r>
        <w:rPr>
          <w:rFonts w:ascii="Tinos" w:hAnsi="Tinos" w:cs="Tinos"/>
        </w:rPr>
      </w:r>
    </w:p>
    <w:p>
      <w:pPr>
        <w:ind w:right="708"/>
        <w:jc w:val="center"/>
        <w:spacing w:after="0" w:line="17" w:lineRule="atLeast"/>
        <w:widowControl w:val="off"/>
        <w:tabs>
          <w:tab w:val="num" w:pos="1701" w:leader="none"/>
          <w:tab w:val="num" w:pos="1909" w:leader="none"/>
        </w:tabs>
        <w:rPr>
          <w:rFonts w:ascii="Tinos" w:hAnsi="Tinos" w:cs="Tinos"/>
          <w:b/>
        </w:rPr>
      </w:pPr>
      <w:r>
        <w:rPr>
          <w:rFonts w:ascii="Tinos" w:hAnsi="Tinos" w:eastAsia="Tinos" w:cs="Tinos"/>
          <w:b/>
        </w:rPr>
        <w:t xml:space="preserve">9. Переход права собственности на Товар</w:t>
      </w:r>
      <w:r>
        <w:rPr>
          <w:rFonts w:ascii="Tinos" w:hAnsi="Tinos" w:cs="Tinos"/>
          <w:b/>
        </w:rPr>
      </w:r>
    </w:p>
    <w:p>
      <w:pPr>
        <w:jc w:val="both"/>
        <w:spacing w:after="0" w:line="17" w:lineRule="atLeast"/>
        <w:widowControl w:val="off"/>
        <w:rPr>
          <w:rFonts w:ascii="Tinos" w:hAnsi="Tinos" w:cs="Tinos"/>
        </w:rPr>
      </w:pPr>
      <w:r>
        <w:rPr>
          <w:rFonts w:ascii="Tinos" w:hAnsi="Tinos" w:eastAsia="Tinos" w:cs="Tinos"/>
        </w:rPr>
        <w:t xml:space="preserve">9.1. Право собственности на Товар переходит к Покупателю после фактической передачи Товара Покупателю по Товарной накладной либо УПД. </w:t>
      </w:r>
      <w:r>
        <w:rPr>
          <w:rFonts w:ascii="Tinos" w:hAnsi="Tinos" w:cs="Tinos"/>
        </w:rPr>
      </w:r>
    </w:p>
    <w:p>
      <w:pPr>
        <w:jc w:val="both"/>
        <w:spacing w:after="0" w:line="17" w:lineRule="atLeast"/>
        <w:widowControl w:val="off"/>
        <w:rPr>
          <w:rFonts w:ascii="Tinos" w:hAnsi="Tinos" w:cs="Tinos"/>
        </w:rPr>
      </w:pPr>
      <w:r>
        <w:rPr>
          <w:rFonts w:ascii="Tinos" w:hAnsi="Tinos" w:eastAsia="Tinos" w:cs="Tinos"/>
        </w:rPr>
        <w:t xml:space="preserve">9.2. Риски случайной гибели ил</w:t>
      </w:r>
      <w:r>
        <w:rPr>
          <w:rFonts w:ascii="Tinos" w:hAnsi="Tinos" w:eastAsia="Tinos" w:cs="Tinos"/>
        </w:rPr>
        <w:t xml:space="preserve">и случайного повреждения Товара несет Поставщик до подписания Товарной накладной либо УПД.</w:t>
      </w:r>
      <w:r>
        <w:rPr>
          <w:rFonts w:ascii="Tinos" w:hAnsi="Tinos" w:cs="Tinos"/>
        </w:rPr>
      </w:r>
    </w:p>
    <w:p>
      <w:pPr>
        <w:jc w:val="both"/>
        <w:spacing w:after="0" w:line="17" w:lineRule="atLeast"/>
        <w:widowControl w:val="off"/>
        <w:rPr>
          <w:rFonts w:ascii="Tinos" w:hAnsi="Tinos" w:cs="Tinos"/>
        </w:rPr>
      </w:pPr>
      <w:r>
        <w:rPr>
          <w:rFonts w:ascii="Tinos" w:hAnsi="Tinos" w:eastAsia="Tinos" w:cs="Tinos"/>
        </w:rPr>
        <w:t xml:space="preserve">9.3. С момента фактической передачи Товар не считается находящимся в залоге у Поставщика, и Покупатель вправе, без согласия Поставщика, самостоятельно распоряжаться </w:t>
      </w:r>
      <w:r>
        <w:rPr>
          <w:rFonts w:ascii="Tinos" w:hAnsi="Tinos" w:eastAsia="Tinos" w:cs="Tinos"/>
        </w:rPr>
        <w:t xml:space="preserve">переданным ему по Договору Товаром, независимо от осуществления оплаты.</w:t>
      </w:r>
      <w:r>
        <w:rPr>
          <w:rFonts w:ascii="Tinos" w:hAnsi="Tinos" w:cs="Tinos"/>
        </w:rPr>
      </w:r>
    </w:p>
    <w:p>
      <w:pPr>
        <w:ind w:right="1133"/>
        <w:jc w:val="center"/>
        <w:spacing w:after="0" w:line="17" w:lineRule="atLeast"/>
        <w:widowControl w:val="off"/>
        <w:tabs>
          <w:tab w:val="left" w:pos="426" w:leader="none"/>
          <w:tab w:val="num" w:pos="1843" w:leader="none"/>
          <w:tab w:val="num" w:pos="2345" w:leader="none"/>
        </w:tabs>
        <w:rPr>
          <w:rFonts w:ascii="Tinos" w:hAnsi="Tinos" w:cs="Tinos"/>
          <w:b/>
          <w:bCs/>
        </w:rPr>
      </w:pPr>
      <w:r>
        <w:rPr>
          <w:rFonts w:ascii="Tinos" w:hAnsi="Tinos" w:eastAsia="Tinos" w:cs="Tinos"/>
          <w:b/>
        </w:rPr>
        <w:t xml:space="preserve">10. </w:t>
      </w:r>
      <w:r>
        <w:rPr>
          <w:rFonts w:ascii="Tinos" w:hAnsi="Tinos" w:eastAsia="Tinos" w:cs="Tinos"/>
          <w:b/>
          <w:bCs/>
        </w:rPr>
        <w:t xml:space="preserve">Гарантии качества</w:t>
      </w:r>
      <w:r>
        <w:rPr>
          <w:rFonts w:ascii="Tinos" w:hAnsi="Tinos" w:cs="Tinos"/>
          <w:b/>
          <w:bCs/>
        </w:rPr>
      </w:r>
    </w:p>
    <w:p>
      <w:pPr>
        <w:jc w:val="both"/>
        <w:spacing w:after="0" w:line="17" w:lineRule="atLeast"/>
        <w:widowControl w:val="off"/>
        <w:tabs>
          <w:tab w:val="left" w:pos="0" w:leader="none"/>
          <w:tab w:val="left" w:pos="1260" w:leader="none"/>
        </w:tabs>
        <w:rPr>
          <w:rFonts w:ascii="Tinos" w:hAnsi="Tinos" w:cs="Tinos"/>
        </w:rPr>
      </w:pPr>
      <w:r>
        <w:rPr>
          <w:rFonts w:ascii="Tinos" w:hAnsi="Tinos" w:eastAsia="Tinos" w:cs="Tinos"/>
        </w:rPr>
        <w:t xml:space="preserve">10.1. Поставщик гарантирует, что Товар, включая его комплектующие изделия, поставленный в рамках Договора, соответствует требованиям Технической части (Приложение</w:t>
      </w:r>
      <w:r>
        <w:rPr>
          <w:rFonts w:ascii="Tinos" w:hAnsi="Tinos" w:eastAsia="Tinos" w:cs="Tinos"/>
        </w:rPr>
        <w:t xml:space="preserve"> № 1 к Договору). Поставщик </w:t>
      </w:r>
      <w:r>
        <w:rPr>
          <w:rFonts w:ascii="Tinos" w:hAnsi="Tinos" w:eastAsia="Tinos" w:cs="Tinos"/>
          <w:spacing w:val="-4"/>
        </w:rPr>
        <w:t xml:space="preserve">гарантирует соответствие качества Товара требованиям Договора, сертификатам</w:t>
      </w:r>
      <w:r>
        <w:rPr>
          <w:rFonts w:ascii="Tinos" w:hAnsi="Tinos" w:eastAsia="Tinos" w:cs="Tinos"/>
        </w:rPr>
        <w:t xml:space="preserve"> качества, требованиям ГОСТов, технических регламентов, национальных стандартов.</w:t>
      </w:r>
      <w:r>
        <w:rPr>
          <w:rFonts w:ascii="Tinos" w:hAnsi="Tinos" w:cs="Tinos"/>
        </w:rPr>
      </w:r>
    </w:p>
    <w:p>
      <w:pPr>
        <w:jc w:val="both"/>
        <w:spacing w:after="0" w:line="17" w:lineRule="atLeast"/>
        <w:widowControl w:val="off"/>
        <w:tabs>
          <w:tab w:val="left" w:pos="0" w:leader="none"/>
          <w:tab w:val="left" w:pos="1260" w:leader="none"/>
        </w:tabs>
        <w:rPr>
          <w:rFonts w:ascii="Tinos" w:hAnsi="Tinos" w:cs="Tinos"/>
        </w:rPr>
      </w:pPr>
      <w:r>
        <w:rPr>
          <w:rFonts w:ascii="Tinos" w:hAnsi="Tinos" w:eastAsia="Tinos" w:cs="Tinos"/>
        </w:rPr>
        <w:t xml:space="preserve">Поставщик должен иметь специализированные сервисные центры по гарантийно</w:t>
      </w:r>
      <w:r>
        <w:rPr>
          <w:rFonts w:ascii="Tinos" w:hAnsi="Tinos" w:eastAsia="Tinos" w:cs="Tinos"/>
        </w:rPr>
        <w:t xml:space="preserve">му и послегарантийному ремонту и обслуживанию поставляемой техники на территории присутствия АО «Россети Сибирь Тываэнерго».</w:t>
      </w:r>
      <w:r>
        <w:rPr>
          <w:rFonts w:ascii="Tinos" w:hAnsi="Tinos" w:cs="Tinos"/>
        </w:rPr>
      </w:r>
    </w:p>
    <w:p>
      <w:pPr>
        <w:jc w:val="both"/>
        <w:spacing w:after="0" w:line="17" w:lineRule="atLeast"/>
        <w:widowControl w:val="off"/>
        <w:tabs>
          <w:tab w:val="left" w:pos="703" w:leader="none"/>
          <w:tab w:val="left" w:pos="1260" w:leader="none"/>
        </w:tabs>
        <w:rPr>
          <w:rFonts w:ascii="Tinos" w:hAnsi="Tinos" w:cs="Tinos"/>
          <w:bCs/>
        </w:rPr>
      </w:pPr>
      <w:r>
        <w:rPr>
          <w:rFonts w:ascii="Tinos" w:hAnsi="Tinos" w:eastAsia="Tinos" w:cs="Tinos"/>
          <w:spacing w:val="-4"/>
        </w:rPr>
        <w:t xml:space="preserve">10.2. Покупатель обязан оперативно уведомить Поставщика в письменной</w:t>
      </w:r>
      <w:r>
        <w:rPr>
          <w:rFonts w:ascii="Tinos" w:hAnsi="Tinos" w:eastAsia="Tinos" w:cs="Tinos"/>
        </w:rPr>
        <w:t xml:space="preserve"> форме обо всех претензиях, связанных с невыполнением требований п. 10.1 Договора. </w:t>
      </w:r>
      <w:r>
        <w:rPr>
          <w:rFonts w:ascii="Tinos" w:hAnsi="Tinos" w:eastAsia="Tinos" w:cs="Tinos"/>
          <w:bCs/>
        </w:rPr>
        <w:t xml:space="preserve">После получения уведомления Поставщик обязан за свой счет устранить выявленные недостатки в сроки, не превышающие </w:t>
      </w:r>
      <w:r>
        <w:rPr>
          <w:rFonts w:ascii="Tinos" w:hAnsi="Tinos" w:eastAsia="Tinos" w:cs="Tinos"/>
        </w:rPr>
        <w:t xml:space="preserve">20 (двадцати)</w:t>
      </w:r>
      <w:r>
        <w:rPr>
          <w:rFonts w:ascii="Tinos" w:hAnsi="Tinos" w:eastAsia="Tinos" w:cs="Tinos"/>
          <w:bCs/>
        </w:rPr>
        <w:t xml:space="preserve"> дней.</w:t>
      </w:r>
      <w:r>
        <w:rPr>
          <w:rFonts w:ascii="Tinos" w:hAnsi="Tinos" w:cs="Tinos"/>
          <w:bCs/>
        </w:rPr>
      </w:r>
    </w:p>
    <w:p>
      <w:pPr>
        <w:jc w:val="both"/>
        <w:spacing w:after="0" w:line="17" w:lineRule="atLeast"/>
        <w:widowControl w:val="off"/>
        <w:tabs>
          <w:tab w:val="left" w:pos="0" w:leader="none"/>
          <w:tab w:val="left" w:pos="1260" w:leader="none"/>
        </w:tabs>
        <w:rPr>
          <w:rFonts w:ascii="Tinos" w:hAnsi="Tinos" w:cs="Tinos"/>
        </w:rPr>
      </w:pPr>
      <w:r>
        <w:rPr>
          <w:rFonts w:ascii="Tinos" w:hAnsi="Tinos" w:eastAsia="Tinos" w:cs="Tinos"/>
        </w:rPr>
        <w:t xml:space="preserve">10.3. Если Поставщик, получив уведомлен</w:t>
      </w:r>
      <w:r>
        <w:rPr>
          <w:rFonts w:ascii="Tinos" w:hAnsi="Tinos" w:eastAsia="Tinos" w:cs="Tinos"/>
        </w:rPr>
        <w:t xml:space="preserve">ие, не исправит недостатки в сроки, указанные в п. 10.2 Договора, Покупатель вправе применить санкции, указанные в п. 13.1 Договора, без какого-либо ущерба любым другим правам, которые Покупатель может иметь в отношении Поставщика по Договору. </w:t>
      </w:r>
      <w:r>
        <w:rPr>
          <w:rFonts w:ascii="Tinos" w:hAnsi="Tinos" w:cs="Tinos"/>
        </w:rPr>
      </w:r>
    </w:p>
    <w:p>
      <w:pPr>
        <w:jc w:val="both"/>
        <w:spacing w:after="0" w:line="17" w:lineRule="atLeast"/>
        <w:widowControl w:val="off"/>
        <w:tabs>
          <w:tab w:val="left" w:pos="0" w:leader="none"/>
          <w:tab w:val="left" w:pos="1260" w:leader="none"/>
        </w:tabs>
        <w:rPr>
          <w:rFonts w:ascii="Tinos" w:hAnsi="Tinos" w:cs="Tinos"/>
        </w:rPr>
      </w:pPr>
      <w:r>
        <w:rPr>
          <w:rFonts w:ascii="Tinos" w:hAnsi="Tinos" w:eastAsia="Tinos" w:cs="Tinos"/>
        </w:rPr>
        <w:t xml:space="preserve">10.4. Срок </w:t>
      </w:r>
      <w:r>
        <w:rPr>
          <w:rFonts w:ascii="Tinos" w:hAnsi="Tinos" w:eastAsia="Tinos" w:cs="Tinos"/>
        </w:rPr>
        <w:t xml:space="preserve">гарантии на поставляемые транспортные средства должен быть не менее срока, установленного заводом - изготовителем. Время начала исчисления гарантийного срока – с момента подписания акта приема - передачи.</w:t>
      </w:r>
      <w:r>
        <w:rPr>
          <w:rFonts w:ascii="Tinos" w:hAnsi="Tinos" w:cs="Tinos"/>
        </w:rPr>
      </w:r>
    </w:p>
    <w:p>
      <w:pPr>
        <w:jc w:val="both"/>
        <w:spacing w:after="0" w:line="17" w:lineRule="atLeast"/>
        <w:widowControl w:val="off"/>
        <w:tabs>
          <w:tab w:val="left" w:pos="0" w:leader="none"/>
          <w:tab w:val="left" w:pos="1260" w:leader="none"/>
        </w:tabs>
        <w:rPr>
          <w:rFonts w:ascii="Tinos" w:hAnsi="Tinos" w:cs="Tinos"/>
        </w:rPr>
      </w:pPr>
      <w:r>
        <w:rPr>
          <w:rFonts w:ascii="Tinos" w:hAnsi="Tinos" w:eastAsia="Tinos" w:cs="Tinos"/>
        </w:rPr>
        <w:t xml:space="preserve">Поставщик должен обеспечить исполнение гарантийных </w:t>
      </w:r>
      <w:r>
        <w:rPr>
          <w:rFonts w:ascii="Tinos" w:hAnsi="Tinos" w:eastAsia="Tinos" w:cs="Tinos"/>
        </w:rPr>
        <w:t xml:space="preserve">обязательств по месту базирования транспортного средства, либо оплатить затраты на транспортировку (проезд) к месту устранения неисправности (если сервисный центр находится на расстоянии более </w:t>
      </w:r>
      <w:r>
        <w:rPr>
          <w:rFonts w:ascii="Tinos" w:hAnsi="Tinos" w:eastAsia="Tinos" w:cs="Tinos"/>
          <w:lang w:val="en-US"/>
        </w:rPr>
        <w:t xml:space="preserve">400</w:t>
      </w:r>
      <w:r>
        <w:rPr>
          <w:rFonts w:ascii="Tinos" w:hAnsi="Tinos" w:eastAsia="Tinos" w:cs="Tinos"/>
        </w:rPr>
        <w:t xml:space="preserve"> км от места базирования транспортного средства).</w:t>
      </w:r>
      <w:r>
        <w:rPr>
          <w:rFonts w:ascii="Tinos" w:hAnsi="Tinos" w:cs="Tinos"/>
        </w:rPr>
      </w:r>
    </w:p>
    <w:p>
      <w:pPr>
        <w:jc w:val="both"/>
        <w:spacing w:after="0" w:line="17" w:lineRule="atLeast"/>
        <w:widowControl w:val="off"/>
        <w:tabs>
          <w:tab w:val="left" w:pos="703" w:leader="none"/>
          <w:tab w:val="left" w:pos="1260" w:leader="none"/>
        </w:tabs>
        <w:rPr>
          <w:rFonts w:ascii="Tinos" w:hAnsi="Tinos" w:cs="Tinos"/>
        </w:rPr>
      </w:pPr>
      <w:r>
        <w:rPr>
          <w:rFonts w:ascii="Tinos" w:hAnsi="Tinos" w:eastAsia="Tinos" w:cs="Tinos"/>
        </w:rPr>
        <w:t xml:space="preserve">10.5. Поста</w:t>
      </w:r>
      <w:r>
        <w:rPr>
          <w:rFonts w:ascii="Tinos" w:hAnsi="Tinos" w:eastAsia="Tinos" w:cs="Tinos"/>
        </w:rPr>
        <w:t xml:space="preserve">вщик обязан за свой счет устранить недостатки Товара, выявленные в течение гарантийного срока, произведя его ремонт или заменив Товар и/или его части (комплектующие) в согласованный Сторонами срок, но не позднее 20 (двадцати) дней с даты получения письменн</w:t>
      </w:r>
      <w:r>
        <w:rPr>
          <w:rFonts w:ascii="Tinos" w:hAnsi="Tinos" w:eastAsia="Tinos" w:cs="Tinos"/>
        </w:rPr>
        <w:t xml:space="preserve">ого уведомления Покупателя.</w:t>
      </w:r>
      <w:r>
        <w:rPr>
          <w:rFonts w:ascii="Tinos" w:hAnsi="Tinos" w:cs="Tinos"/>
        </w:rPr>
      </w:r>
    </w:p>
    <w:p>
      <w:pPr>
        <w:jc w:val="both"/>
        <w:spacing w:after="0" w:line="17" w:lineRule="atLeast"/>
        <w:widowControl w:val="off"/>
        <w:tabs>
          <w:tab w:val="left" w:pos="0" w:leader="none"/>
          <w:tab w:val="left" w:pos="1260" w:leader="none"/>
        </w:tabs>
        <w:rPr>
          <w:rFonts w:ascii="Tinos" w:hAnsi="Tinos" w:cs="Tinos"/>
        </w:rPr>
      </w:pPr>
      <w:r>
        <w:rPr>
          <w:rFonts w:ascii="Tinos" w:hAnsi="Tinos" w:eastAsia="Tinos" w:cs="Tinos"/>
        </w:rPr>
        <w:t xml:space="preserve">10.6. Гарантийный срок продлевается на время, в течение которого Товар либо комплектующие его изделия не использовались Покупателем из-за обнаруженных недостатков. </w:t>
      </w:r>
      <w:r>
        <w:rPr>
          <w:rFonts w:ascii="Tinos" w:hAnsi="Tinos" w:cs="Tinos"/>
        </w:rPr>
      </w:r>
    </w:p>
    <w:p>
      <w:pPr>
        <w:jc w:val="both"/>
        <w:spacing w:after="0" w:line="17" w:lineRule="atLeast"/>
        <w:widowControl w:val="off"/>
        <w:tabs>
          <w:tab w:val="left" w:pos="0" w:leader="none"/>
          <w:tab w:val="left" w:pos="1260" w:leader="none"/>
        </w:tabs>
        <w:rPr>
          <w:rFonts w:ascii="Tinos" w:hAnsi="Tinos" w:cs="Tinos"/>
        </w:rPr>
      </w:pPr>
      <w:r>
        <w:rPr>
          <w:rFonts w:ascii="Tinos" w:hAnsi="Tinos" w:eastAsia="Tinos" w:cs="Tinos"/>
        </w:rPr>
        <w:t xml:space="preserve">10.7. На примененные при гарантийном ремонте запасные части рас</w:t>
      </w:r>
      <w:r>
        <w:rPr>
          <w:rFonts w:ascii="Tinos" w:hAnsi="Tinos" w:eastAsia="Tinos" w:cs="Tinos"/>
        </w:rPr>
        <w:t xml:space="preserve">пространяется гарантия изготовителя, которая истекает одновременно с окончанием гарантийного срока на автомобиль, а если на запасную часть установлены отдельные сроки, указанные в сервисной книжке, то по окончании этих сроков, в зависимости от того, какое </w:t>
      </w:r>
      <w:r>
        <w:rPr>
          <w:rFonts w:ascii="Tinos" w:hAnsi="Tinos" w:eastAsia="Tinos" w:cs="Tinos"/>
        </w:rPr>
        <w:t xml:space="preserve">из условий наступит раньше. </w:t>
      </w:r>
      <w:r>
        <w:rPr>
          <w:rFonts w:ascii="Tinos" w:hAnsi="Tinos" w:cs="Tinos"/>
        </w:rPr>
      </w:r>
    </w:p>
    <w:p>
      <w:pPr>
        <w:jc w:val="both"/>
        <w:spacing w:after="0" w:line="17" w:lineRule="atLeast"/>
        <w:widowControl w:val="off"/>
        <w:tabs>
          <w:tab w:val="left" w:pos="0" w:leader="none"/>
          <w:tab w:val="left" w:pos="1260" w:leader="none"/>
        </w:tabs>
        <w:rPr>
          <w:rFonts w:ascii="Tinos" w:hAnsi="Tinos" w:cs="Tinos"/>
        </w:rPr>
      </w:pPr>
      <w:r>
        <w:rPr>
          <w:rFonts w:ascii="Tinos" w:hAnsi="Tinos" w:eastAsia="Tinos" w:cs="Tinos"/>
        </w:rPr>
        <w:t xml:space="preserve">10.8 По выбору Покупателя вместо устранения недостатков по требованию Покупателя Поставщик обязан вернуть Покупателю уплаченные за Товар денежные средства в течение 20 (двадцати) рабочих дней со дня предъявления Покупателем соо</w:t>
      </w:r>
      <w:r>
        <w:rPr>
          <w:rFonts w:ascii="Tinos" w:hAnsi="Tinos" w:eastAsia="Tinos" w:cs="Tinos"/>
        </w:rPr>
        <w:t xml:space="preserve">тветствующего требования. Указанное право возникает у Покупателя при обнаружении в товаре существенных недостатков.</w:t>
      </w:r>
      <w:r>
        <w:rPr>
          <w:rFonts w:ascii="Tinos" w:hAnsi="Tinos" w:cs="Tinos"/>
        </w:rPr>
      </w:r>
    </w:p>
    <w:p>
      <w:pPr>
        <w:jc w:val="both"/>
        <w:spacing w:after="0" w:line="17" w:lineRule="atLeast"/>
        <w:widowControl w:val="off"/>
        <w:tabs>
          <w:tab w:val="left" w:pos="0" w:leader="none"/>
          <w:tab w:val="left" w:pos="1260" w:leader="none"/>
        </w:tabs>
        <w:rPr>
          <w:rFonts w:ascii="Tinos" w:hAnsi="Tinos" w:cs="Tinos"/>
        </w:rPr>
      </w:pPr>
      <w:r>
        <w:rPr>
          <w:rFonts w:ascii="Tinos" w:hAnsi="Tinos" w:eastAsia="Tinos" w:cs="Tinos"/>
          <w:spacing w:val="-4"/>
        </w:rPr>
        <w:t xml:space="preserve">10.9. Истечение срока и/или досрочное расторжение (отказ от исполнения</w:t>
      </w:r>
      <w:r>
        <w:rPr>
          <w:rFonts w:ascii="Tinos" w:hAnsi="Tinos" w:eastAsia="Tinos" w:cs="Tinos"/>
        </w:rPr>
        <w:t xml:space="preserve"> </w:t>
      </w:r>
      <w:r>
        <w:rPr>
          <w:rFonts w:ascii="Tinos" w:hAnsi="Tinos" w:eastAsia="Tinos" w:cs="Tinos"/>
          <w:spacing w:val="-4"/>
        </w:rPr>
        <w:t xml:space="preserve">и/или прекращение по иным основаниям) Договора не затрагивает обязате</w:t>
      </w:r>
      <w:r>
        <w:rPr>
          <w:rFonts w:ascii="Tinos" w:hAnsi="Tinos" w:eastAsia="Tinos" w:cs="Tinos"/>
          <w:spacing w:val="-4"/>
        </w:rPr>
        <w:t xml:space="preserve">льства</w:t>
      </w:r>
      <w:r>
        <w:rPr>
          <w:rFonts w:ascii="Tinos" w:hAnsi="Tinos" w:eastAsia="Tinos" w:cs="Tinos"/>
        </w:rPr>
        <w:t xml:space="preserve"> Поставщика, предусмотренные разделом 10 Договора.</w:t>
      </w:r>
      <w:r>
        <w:rPr>
          <w:rFonts w:ascii="Tinos" w:hAnsi="Tinos" w:cs="Tinos"/>
        </w:rPr>
      </w:r>
    </w:p>
    <w:p>
      <w:pPr>
        <w:pStyle w:val="1433"/>
        <w:ind w:right="992"/>
        <w:jc w:val="center"/>
        <w:spacing w:line="17" w:lineRule="atLeast"/>
        <w:widowControl w:val="off"/>
        <w:rPr>
          <w:rFonts w:ascii="Tinos" w:hAnsi="Tinos" w:cs="Tinos"/>
          <w:b/>
        </w:rPr>
      </w:pPr>
      <w:r>
        <w:rPr>
          <w:rFonts w:ascii="Tinos" w:hAnsi="Tinos" w:eastAsia="Tinos" w:cs="Tinos"/>
          <w:b/>
        </w:rPr>
        <w:t xml:space="preserve">11. Антикоррупционная оговорка</w:t>
      </w:r>
      <w:r>
        <w:rPr>
          <w:rFonts w:ascii="Tinos" w:hAnsi="Tinos" w:cs="Tinos"/>
          <w:b/>
        </w:rPr>
      </w:r>
    </w:p>
    <w:p>
      <w:pPr>
        <w:pStyle w:val="1315"/>
        <w:numPr>
          <w:ilvl w:val="1"/>
          <w:numId w:val="54"/>
        </w:numPr>
        <w:ind w:left="0" w:firstLine="0"/>
        <w:jc w:val="both"/>
        <w:spacing w:line="17" w:lineRule="atLeast"/>
        <w:tabs>
          <w:tab w:val="left" w:pos="284" w:leader="none"/>
          <w:tab w:val="left" w:pos="426" w:leader="none"/>
          <w:tab w:val="left" w:pos="567" w:leader="none"/>
        </w:tabs>
        <w:rPr>
          <w:rFonts w:ascii="Tinos" w:hAnsi="Tinos" w:cs="Tinos"/>
          <w:sz w:val="22"/>
          <w:szCs w:val="22"/>
        </w:rPr>
      </w:pPr>
      <w:r>
        <w:rPr>
          <w:rFonts w:ascii="Tinos" w:hAnsi="Tinos" w:eastAsia="Tinos" w:cs="Tinos"/>
          <w:sz w:val="22"/>
          <w:szCs w:val="22"/>
        </w:rPr>
        <w:t xml:space="preserve">Поставщику известно о том, что АО «Россети Сибирь Т</w:t>
      </w:r>
      <w:r>
        <w:rPr>
          <w:rFonts w:ascii="Tinos" w:hAnsi="Tinos" w:eastAsia="Tinos" w:cs="Tinos"/>
          <w:sz w:val="22"/>
          <w:szCs w:val="22"/>
        </w:rPr>
        <w:t xml:space="preserve">ываэнерго» реализует требования статьи 13.3 Федерального закона от 25.12.2008 № 273-ФЗ «О противодействии коррупции», принимает меры по предупреждению коррупции, ведет Антикоррупционную политику и развивает не допускающую коррупционных проявлений культуру,</w:t>
      </w:r>
      <w:r>
        <w:rPr>
          <w:rFonts w:ascii="Tinos" w:hAnsi="Tinos" w:eastAsia="Tinos" w:cs="Tinos"/>
          <w:sz w:val="22"/>
          <w:szCs w:val="22"/>
        </w:rPr>
        <w:t xml:space="preserve">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r>
        <w:rPr>
          <w:rFonts w:ascii="Tinos" w:hAnsi="Tinos" w:cs="Tinos"/>
          <w:sz w:val="22"/>
          <w:szCs w:val="22"/>
        </w:rPr>
      </w:r>
    </w:p>
    <w:p>
      <w:pPr>
        <w:pStyle w:val="1315"/>
        <w:numPr>
          <w:ilvl w:val="1"/>
          <w:numId w:val="54"/>
        </w:numPr>
        <w:ind w:left="0" w:firstLine="0"/>
        <w:jc w:val="both"/>
        <w:spacing w:line="17" w:lineRule="atLeast"/>
        <w:widowControl/>
        <w:tabs>
          <w:tab w:val="left" w:pos="284" w:leader="none"/>
          <w:tab w:val="left" w:pos="426" w:leader="none"/>
          <w:tab w:val="left" w:pos="567" w:leader="none"/>
        </w:tabs>
        <w:rPr>
          <w:rFonts w:ascii="Tinos" w:hAnsi="Tinos" w:cs="Tinos"/>
          <w:sz w:val="22"/>
          <w:szCs w:val="22"/>
        </w:rPr>
      </w:pPr>
      <w:r>
        <w:rPr>
          <w:rFonts w:ascii="Tinos" w:hAnsi="Tinos" w:eastAsia="Tinos" w:cs="Tinos"/>
          <w:sz w:val="22"/>
          <w:szCs w:val="22"/>
        </w:rPr>
        <w:t xml:space="preserve">Поставщик настоящим подтверждает, что он ознакомился с Антикоррупционной хартией российского б</w:t>
      </w:r>
      <w:r>
        <w:rPr>
          <w:rFonts w:ascii="Tinos" w:hAnsi="Tinos" w:eastAsia="Tinos" w:cs="Tinos"/>
          <w:sz w:val="22"/>
          <w:szCs w:val="22"/>
        </w:rPr>
        <w:t xml:space="preserve">изнеса и Антикоррупционной политикой, представленных в разделе «Антикоррупционная политика» на официальном сайте АО «Россети Сибирь Тываэнерго» по адресу: </w:t>
      </w:r>
      <w:hyperlink r:id="rId17" w:tooltip="http://www.tuvaenergo.ru/buy/corruption.php" w:history="1">
        <w:r>
          <w:rPr>
            <w:rFonts w:ascii="Tinos" w:hAnsi="Tinos" w:eastAsia="Tinos" w:cs="Tinos"/>
            <w:color w:val="0000ff"/>
            <w:sz w:val="22"/>
            <w:szCs w:val="22"/>
            <w:u w:val="single"/>
          </w:rPr>
          <w:t xml:space="preserve">http://www.tuvaenergo.ru/buy/corruption.php</w:t>
        </w:r>
      </w:hyperlink>
      <w:r>
        <w:rPr>
          <w:rFonts w:ascii="Tinos" w:hAnsi="Tinos" w:eastAsia="Tinos" w:cs="Tinos"/>
          <w:sz w:val="22"/>
          <w:szCs w:val="22"/>
        </w:rPr>
        <w:t xml:space="preserve">, полностью принимает положения Антикоррупционной политики и обязуется обеспечивать соблюдение ее требований как со своей стороны, так и со стороны аффилированных с ним физических и юридических лиц, действ</w:t>
      </w:r>
      <w:r>
        <w:rPr>
          <w:rFonts w:ascii="Tinos" w:hAnsi="Tinos" w:eastAsia="Tinos" w:cs="Tinos"/>
          <w:sz w:val="22"/>
          <w:szCs w:val="22"/>
        </w:rPr>
        <w:t xml:space="preserve">ующих по Договору, включая собственников, должностных лиц, работников и/или посредников.</w:t>
      </w:r>
      <w:r>
        <w:rPr>
          <w:rFonts w:ascii="Tinos" w:hAnsi="Tinos" w:cs="Tinos"/>
          <w:sz w:val="22"/>
          <w:szCs w:val="22"/>
        </w:rPr>
      </w:r>
    </w:p>
    <w:p>
      <w:pPr>
        <w:pStyle w:val="1315"/>
        <w:numPr>
          <w:ilvl w:val="1"/>
          <w:numId w:val="54"/>
        </w:numPr>
        <w:ind w:left="0" w:firstLine="0"/>
        <w:jc w:val="both"/>
        <w:spacing w:line="17" w:lineRule="atLeast"/>
        <w:widowControl/>
        <w:tabs>
          <w:tab w:val="left" w:pos="284" w:leader="none"/>
          <w:tab w:val="left" w:pos="426" w:leader="none"/>
          <w:tab w:val="left" w:pos="567" w:leader="none"/>
        </w:tabs>
        <w:rPr>
          <w:rFonts w:ascii="Tinos" w:hAnsi="Tinos" w:cs="Tinos"/>
          <w:sz w:val="22"/>
          <w:szCs w:val="22"/>
        </w:rPr>
      </w:pPr>
      <w:r>
        <w:rPr>
          <w:rFonts w:ascii="Tinos" w:hAnsi="Tinos" w:eastAsia="Tinos" w:cs="Tinos"/>
          <w:sz w:val="22"/>
          <w:szCs w:val="22"/>
        </w:rPr>
        <w:t xml:space="preserve">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w:t>
      </w:r>
      <w:r>
        <w:rPr>
          <w:rFonts w:ascii="Tinos" w:hAnsi="Tinos" w:eastAsia="Tinos" w:cs="Tinos"/>
          <w:sz w:val="22"/>
          <w:szCs w:val="22"/>
        </w:rPr>
        <w:t xml:space="preserve">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Pr>
          <w:rFonts w:ascii="Tinos" w:hAnsi="Tinos" w:cs="Tinos"/>
          <w:sz w:val="22"/>
          <w:szCs w:val="22"/>
        </w:rPr>
      </w:r>
    </w:p>
    <w:p>
      <w:pPr>
        <w:pStyle w:val="1315"/>
        <w:ind w:left="0"/>
        <w:jc w:val="both"/>
        <w:spacing w:line="17" w:lineRule="atLeast"/>
        <w:tabs>
          <w:tab w:val="left" w:pos="284" w:leader="none"/>
          <w:tab w:val="left" w:pos="426" w:leader="none"/>
          <w:tab w:val="left" w:pos="567" w:leader="none"/>
        </w:tabs>
        <w:rPr>
          <w:rFonts w:ascii="Tinos" w:hAnsi="Tinos" w:cs="Tinos"/>
          <w:sz w:val="22"/>
          <w:szCs w:val="22"/>
        </w:rPr>
      </w:pPr>
      <w:r>
        <w:rPr>
          <w:rFonts w:ascii="Tinos" w:hAnsi="Tinos" w:eastAsia="Tinos" w:cs="Tinos"/>
          <w:sz w:val="22"/>
          <w:szCs w:val="22"/>
        </w:rPr>
        <w:t xml:space="preserve">Стороны отказываются от стимулирова</w:t>
      </w:r>
      <w:r>
        <w:rPr>
          <w:rFonts w:ascii="Tinos" w:hAnsi="Tinos" w:eastAsia="Tinos" w:cs="Tinos"/>
          <w:sz w:val="22"/>
          <w:szCs w:val="22"/>
        </w:rPr>
        <w:t xml:space="preserve">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 направ</w:t>
      </w:r>
      <w:r>
        <w:rPr>
          <w:rFonts w:ascii="Tinos" w:hAnsi="Tinos" w:eastAsia="Tinos" w:cs="Tinos"/>
          <w:sz w:val="22"/>
          <w:szCs w:val="22"/>
        </w:rPr>
        <w:t xml:space="preserve">ленным на обеспечение выполнения этим работником каких-либо действий в пользу стимулирующей его Стороны.</w:t>
      </w:r>
      <w:r>
        <w:rPr>
          <w:rFonts w:ascii="Tinos" w:hAnsi="Tinos" w:cs="Tinos"/>
          <w:sz w:val="22"/>
          <w:szCs w:val="22"/>
        </w:rPr>
      </w:r>
    </w:p>
    <w:p>
      <w:pPr>
        <w:pStyle w:val="1315"/>
        <w:numPr>
          <w:ilvl w:val="1"/>
          <w:numId w:val="54"/>
        </w:numPr>
        <w:ind w:left="0" w:firstLine="0"/>
        <w:jc w:val="both"/>
        <w:spacing w:line="17" w:lineRule="atLeast"/>
        <w:widowControl/>
        <w:tabs>
          <w:tab w:val="left" w:pos="284" w:leader="none"/>
          <w:tab w:val="left" w:pos="426" w:leader="none"/>
          <w:tab w:val="left" w:pos="567" w:leader="none"/>
        </w:tabs>
        <w:rPr>
          <w:rFonts w:ascii="Tinos" w:hAnsi="Tinos" w:cs="Tinos"/>
          <w:sz w:val="22"/>
          <w:szCs w:val="22"/>
        </w:rPr>
      </w:pPr>
      <w:r>
        <w:rPr>
          <w:rFonts w:ascii="Tinos" w:hAnsi="Tinos" w:eastAsia="Tinos" w:cs="Tinos"/>
          <w:sz w:val="22"/>
          <w:szCs w:val="22"/>
        </w:rPr>
        <w:t xml:space="preserve">В случае возникновения у одной из Сторон подозрений, что произошло или может произойти нарушение каких-либо положений пунктов 11.1 – 11.3 Антикоррупцио</w:t>
      </w:r>
      <w:r>
        <w:rPr>
          <w:rFonts w:ascii="Tinos" w:hAnsi="Tinos" w:eastAsia="Tinos" w:cs="Tinos"/>
          <w:sz w:val="22"/>
          <w:szCs w:val="22"/>
        </w:rPr>
        <w:t xml:space="preserve">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Договора до получения подтверждения, что нарушения не произошло или не произойдет. Это подтве</w:t>
      </w:r>
      <w:r>
        <w:rPr>
          <w:rFonts w:ascii="Tinos" w:hAnsi="Tinos" w:eastAsia="Tinos" w:cs="Tinos"/>
          <w:sz w:val="22"/>
          <w:szCs w:val="22"/>
        </w:rPr>
        <w:t xml:space="preserve">рждение должно быть направлено в течение десяти рабочих дней с даты направления письменного уведомления.</w:t>
      </w:r>
      <w:r>
        <w:rPr>
          <w:rFonts w:ascii="Tinos" w:hAnsi="Tinos" w:cs="Tinos"/>
          <w:sz w:val="22"/>
          <w:szCs w:val="22"/>
        </w:rPr>
      </w:r>
    </w:p>
    <w:p>
      <w:pPr>
        <w:pStyle w:val="1315"/>
        <w:ind w:left="0"/>
        <w:jc w:val="both"/>
        <w:spacing w:line="17" w:lineRule="atLeast"/>
        <w:widowControl/>
        <w:tabs>
          <w:tab w:val="left" w:pos="284" w:leader="none"/>
          <w:tab w:val="left" w:pos="426" w:leader="none"/>
          <w:tab w:val="left" w:pos="567" w:leader="none"/>
        </w:tabs>
        <w:rPr>
          <w:rFonts w:ascii="Tinos" w:hAnsi="Tinos" w:cs="Tinos"/>
          <w:sz w:val="22"/>
          <w:szCs w:val="22"/>
        </w:rPr>
      </w:pPr>
      <w:r>
        <w:rPr>
          <w:rFonts w:ascii="Tinos" w:hAnsi="Tinos" w:eastAsia="Tinos" w:cs="Tinos"/>
          <w:sz w:val="22"/>
          <w:szCs w:val="22"/>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11.1, 11.2 Антикоррупционной ого</w:t>
      </w:r>
      <w:r>
        <w:rPr>
          <w:rFonts w:ascii="Tinos" w:hAnsi="Tinos" w:eastAsia="Tinos" w:cs="Tinos"/>
          <w:sz w:val="22"/>
          <w:szCs w:val="22"/>
        </w:rPr>
        <w:t xml:space="preserve">ворки любой из Сторон, аффилированными лицами, работниками или посредниками.</w:t>
      </w:r>
      <w:r>
        <w:rPr>
          <w:rFonts w:ascii="Tinos" w:hAnsi="Tinos" w:cs="Tinos"/>
          <w:sz w:val="22"/>
          <w:szCs w:val="22"/>
        </w:rPr>
      </w:r>
    </w:p>
    <w:p>
      <w:pPr>
        <w:pStyle w:val="1315"/>
        <w:numPr>
          <w:ilvl w:val="1"/>
          <w:numId w:val="54"/>
        </w:numPr>
        <w:ind w:left="0" w:firstLine="0"/>
        <w:jc w:val="both"/>
        <w:spacing w:line="17" w:lineRule="atLeast"/>
        <w:widowControl/>
        <w:tabs>
          <w:tab w:val="left" w:pos="284" w:leader="none"/>
          <w:tab w:val="left" w:pos="426" w:leader="none"/>
          <w:tab w:val="left" w:pos="567" w:leader="none"/>
        </w:tabs>
        <w:rPr>
          <w:rFonts w:ascii="Tinos" w:hAnsi="Tinos" w:cs="Tinos"/>
          <w:sz w:val="22"/>
          <w:szCs w:val="22"/>
        </w:rPr>
      </w:pPr>
      <w:r>
        <w:rPr>
          <w:rFonts w:ascii="Tinos" w:hAnsi="Tinos" w:eastAsia="Tinos" w:cs="Tinos"/>
          <w:sz w:val="22"/>
          <w:szCs w:val="22"/>
        </w:rPr>
        <w:t xml:space="preserve">В случае нарушения одной из Сторон обязательств по соблюдению требований Антикоррупционной политики, предусмотренных пунктами 11.1, 11.2 Антикоррупционной оговорки, и обязательств</w:t>
      </w:r>
      <w:r>
        <w:rPr>
          <w:rFonts w:ascii="Tinos" w:hAnsi="Tinos" w:eastAsia="Tinos" w:cs="Tinos"/>
          <w:sz w:val="22"/>
          <w:szCs w:val="22"/>
        </w:rPr>
        <w:t xml:space="preserve"> воздерживаться от запрещенных в пункте 11.3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Стороны имеют право расторгнуть Договор в одностороннем пор</w:t>
      </w:r>
      <w:r>
        <w:rPr>
          <w:rFonts w:ascii="Tinos" w:hAnsi="Tinos" w:eastAsia="Tinos" w:cs="Tinos"/>
          <w:sz w:val="22"/>
          <w:szCs w:val="22"/>
        </w:rPr>
        <w:t xml:space="preserve">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пункта, вправе требовать возмещения реального ущерба, возникшего в результате такого рас</w:t>
      </w:r>
      <w:r>
        <w:rPr>
          <w:rFonts w:ascii="Tinos" w:hAnsi="Tinos" w:eastAsia="Tinos" w:cs="Tinos"/>
          <w:sz w:val="22"/>
          <w:szCs w:val="22"/>
        </w:rPr>
        <w:t xml:space="preserve">торжения.</w:t>
      </w:r>
      <w:r>
        <w:rPr>
          <w:rFonts w:ascii="Tinos" w:hAnsi="Tinos" w:cs="Tinos"/>
          <w:sz w:val="22"/>
          <w:szCs w:val="22"/>
        </w:rPr>
      </w:r>
    </w:p>
    <w:p>
      <w:pPr>
        <w:ind w:right="850"/>
        <w:jc w:val="center"/>
        <w:spacing w:after="0" w:line="17" w:lineRule="atLeast"/>
        <w:shd w:val="clear" w:color="auto" w:fill="ffffff"/>
        <w:widowControl w:val="off"/>
        <w:tabs>
          <w:tab w:val="left" w:pos="284" w:leader="none"/>
          <w:tab w:val="left" w:pos="426" w:leader="none"/>
        </w:tabs>
        <w:rPr>
          <w:rFonts w:ascii="Tinos" w:hAnsi="Tinos" w:cs="Tinos"/>
          <w:b/>
          <w:bCs/>
        </w:rPr>
      </w:pPr>
      <w:r>
        <w:rPr>
          <w:rFonts w:ascii="Tinos" w:hAnsi="Tinos" w:eastAsia="Tinos" w:cs="Tinos"/>
          <w:b/>
          <w:bCs/>
        </w:rPr>
        <w:t xml:space="preserve">12. Соблюдение требований к заключению Договора. Гарантии и заверения. Конфиденциальность.</w:t>
      </w:r>
      <w:r>
        <w:rPr>
          <w:rFonts w:ascii="Tinos" w:hAnsi="Tinos" w:cs="Tinos"/>
          <w:b/>
          <w:bCs/>
        </w:rPr>
      </w:r>
    </w:p>
    <w:p>
      <w:pPr>
        <w:jc w:val="both"/>
        <w:spacing w:after="0" w:line="17" w:lineRule="atLeast"/>
        <w:widowControl w:val="off"/>
        <w:tabs>
          <w:tab w:val="left" w:pos="720" w:leader="none"/>
          <w:tab w:val="right" w:pos="1600" w:leader="none"/>
        </w:tabs>
        <w:rPr>
          <w:rFonts w:ascii="Tinos" w:hAnsi="Tinos" w:cs="Tinos"/>
        </w:rPr>
      </w:pPr>
      <w:r>
        <w:rPr>
          <w:rFonts w:ascii="Tinos" w:hAnsi="Tinos" w:eastAsia="Tinos" w:cs="Tinos"/>
        </w:rPr>
        <w:t xml:space="preserve">12.1. Поставщик гарантирует, что:</w:t>
      </w:r>
      <w:r>
        <w:rPr>
          <w:rFonts w:ascii="Tinos" w:hAnsi="Tinos" w:cs="Tinos"/>
        </w:rPr>
      </w:r>
    </w:p>
    <w:p>
      <w:pPr>
        <w:jc w:val="both"/>
        <w:spacing w:after="0" w:line="17" w:lineRule="atLeast"/>
        <w:widowControl w:val="off"/>
        <w:tabs>
          <w:tab w:val="left" w:pos="720" w:leader="none"/>
          <w:tab w:val="right" w:pos="1600" w:leader="none"/>
        </w:tabs>
        <w:rPr>
          <w:rFonts w:ascii="Tinos" w:hAnsi="Tinos" w:cs="Tinos"/>
        </w:rPr>
      </w:pPr>
      <w:r>
        <w:rPr>
          <w:rFonts w:ascii="Tinos" w:hAnsi="Tinos" w:eastAsia="Tinos" w:cs="Tinos"/>
        </w:rPr>
        <w:t xml:space="preserve">- зарегистрирован в ЕГРЮЛ надлежащим образом;</w:t>
      </w:r>
      <w:r>
        <w:rPr>
          <w:rFonts w:ascii="Tinos" w:hAnsi="Tinos" w:cs="Tinos"/>
        </w:rPr>
      </w:r>
    </w:p>
    <w:p>
      <w:pPr>
        <w:jc w:val="both"/>
        <w:spacing w:after="0" w:line="17" w:lineRule="atLeast"/>
        <w:widowControl w:val="off"/>
        <w:tabs>
          <w:tab w:val="left" w:pos="720" w:leader="none"/>
          <w:tab w:val="right" w:pos="1600" w:leader="none"/>
        </w:tabs>
        <w:rPr>
          <w:rFonts w:ascii="Tinos" w:hAnsi="Tinos" w:cs="Tinos"/>
        </w:rPr>
      </w:pPr>
      <w:r>
        <w:rPr>
          <w:rFonts w:ascii="Tinos" w:hAnsi="Tinos" w:eastAsia="Tinos" w:cs="Tinos"/>
          <w:spacing w:val="-4"/>
        </w:rPr>
        <w:t xml:space="preserve">- его исполнительный орган находится и осуществляет функции управления</w:t>
      </w:r>
      <w:r>
        <w:rPr>
          <w:rFonts w:ascii="Tinos" w:hAnsi="Tinos" w:eastAsia="Tinos" w:cs="Tinos"/>
        </w:rPr>
        <w:t xml:space="preserve"> по м</w:t>
      </w:r>
      <w:r>
        <w:rPr>
          <w:rFonts w:ascii="Tinos" w:hAnsi="Tinos" w:eastAsia="Tinos" w:cs="Tinos"/>
        </w:rPr>
        <w:t xml:space="preserve">есту регистрации юридического лица и в нем нет дисквалифицированных лиц;</w:t>
      </w:r>
      <w:r>
        <w:rPr>
          <w:rFonts w:ascii="Tinos" w:hAnsi="Tinos" w:cs="Tinos"/>
        </w:rPr>
      </w:r>
    </w:p>
    <w:p>
      <w:pPr>
        <w:jc w:val="both"/>
        <w:spacing w:after="0" w:line="17" w:lineRule="atLeast"/>
        <w:widowControl w:val="off"/>
        <w:tabs>
          <w:tab w:val="left" w:pos="720" w:leader="none"/>
          <w:tab w:val="right" w:pos="1600" w:leader="none"/>
        </w:tabs>
        <w:rPr>
          <w:rFonts w:ascii="Tinos" w:hAnsi="Tinos" w:cs="Tinos"/>
        </w:rPr>
      </w:pPr>
      <w:r>
        <w:rPr>
          <w:rFonts w:ascii="Tinos" w:hAnsi="Tinos" w:eastAsia="Tinos" w:cs="Tinos"/>
        </w:rPr>
        <w:t xml:space="preserve">-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w:t>
      </w:r>
      <w:r>
        <w:rPr>
          <w:rFonts w:ascii="Tinos" w:hAnsi="Tinos" w:eastAsia="Tinos" w:cs="Tinos"/>
        </w:rPr>
        <w:t xml:space="preserve">й) принимает все меры должной осмотрительности, чтобы подрядные организации (соисполнители) соответствовали данному требованию;</w:t>
      </w:r>
      <w:r>
        <w:rPr>
          <w:rFonts w:ascii="Tinos" w:hAnsi="Tinos" w:cs="Tinos"/>
        </w:rPr>
      </w:r>
    </w:p>
    <w:p>
      <w:pPr>
        <w:jc w:val="both"/>
        <w:spacing w:after="0" w:line="17" w:lineRule="atLeast"/>
        <w:widowControl w:val="off"/>
        <w:tabs>
          <w:tab w:val="left" w:pos="720" w:leader="none"/>
          <w:tab w:val="right" w:pos="1600" w:leader="none"/>
        </w:tabs>
        <w:rPr>
          <w:rFonts w:ascii="Tinos" w:hAnsi="Tinos" w:cs="Tinos"/>
        </w:rPr>
      </w:pPr>
      <w:r>
        <w:rPr>
          <w:rFonts w:ascii="Tinos" w:hAnsi="Tinos" w:eastAsia="Tinos" w:cs="Tinos"/>
          <w:spacing w:val="-4"/>
        </w:rPr>
        <w:t xml:space="preserve">- располагает лицензиями, необходимыми для осуществления деятельности</w:t>
      </w:r>
      <w:r>
        <w:rPr>
          <w:rFonts w:ascii="Tinos" w:hAnsi="Tinos" w:eastAsia="Tinos" w:cs="Tinos"/>
        </w:rPr>
        <w:t xml:space="preserve"> и исполнения обязательств по Договору, если осуществляемая</w:t>
      </w:r>
      <w:r>
        <w:rPr>
          <w:rFonts w:ascii="Tinos" w:hAnsi="Tinos" w:eastAsia="Tinos" w:cs="Tinos"/>
        </w:rPr>
        <w:t xml:space="preserve"> деятельность является лицензируемой;</w:t>
      </w:r>
      <w:r>
        <w:rPr>
          <w:rFonts w:ascii="Tinos" w:hAnsi="Tinos" w:cs="Tinos"/>
        </w:rPr>
      </w:r>
    </w:p>
    <w:p>
      <w:pPr>
        <w:jc w:val="both"/>
        <w:spacing w:after="0" w:line="17" w:lineRule="atLeast"/>
        <w:widowControl w:val="off"/>
        <w:tabs>
          <w:tab w:val="left" w:pos="720" w:leader="none"/>
          <w:tab w:val="right" w:pos="1600" w:leader="none"/>
        </w:tabs>
        <w:rPr>
          <w:rFonts w:ascii="Tinos" w:hAnsi="Tinos" w:cs="Tinos"/>
        </w:rPr>
      </w:pPr>
      <w:r>
        <w:rPr>
          <w:rFonts w:ascii="Tinos" w:hAnsi="Tinos" w:eastAsia="Tinos" w:cs="Tinos"/>
        </w:rPr>
        <w:t xml:space="preserve">- является членом саморегулируемой организации, если осуществляемая по Договору деятельность требует членства в саморегулируемой организации;</w:t>
      </w:r>
      <w:r>
        <w:rPr>
          <w:rFonts w:ascii="Tinos" w:hAnsi="Tinos" w:cs="Tinos"/>
        </w:rPr>
      </w:r>
    </w:p>
    <w:p>
      <w:pPr>
        <w:jc w:val="both"/>
        <w:spacing w:after="0" w:line="17" w:lineRule="atLeast"/>
        <w:widowControl w:val="off"/>
        <w:tabs>
          <w:tab w:val="left" w:pos="720" w:leader="none"/>
          <w:tab w:val="right" w:pos="1600" w:leader="none"/>
        </w:tabs>
        <w:rPr>
          <w:rFonts w:ascii="Tinos" w:hAnsi="Tinos" w:cs="Tinos"/>
        </w:rPr>
      </w:pPr>
      <w:r>
        <w:rPr>
          <w:rFonts w:ascii="Tinos" w:hAnsi="Tinos" w:eastAsia="Tinos" w:cs="Tinos"/>
        </w:rPr>
        <w:t xml:space="preserve">- ведет бухгалтерский учет и составляет бухгалтерскую отчетность в соответст</w:t>
      </w:r>
      <w:r>
        <w:rPr>
          <w:rFonts w:ascii="Tinos" w:hAnsi="Tinos" w:eastAsia="Tinos" w:cs="Tinos"/>
        </w:rPr>
        <w:t xml:space="preserve">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r>
        <w:rPr>
          <w:rFonts w:ascii="Tinos" w:hAnsi="Tinos" w:cs="Tinos"/>
        </w:rPr>
      </w:r>
    </w:p>
    <w:p>
      <w:pPr>
        <w:jc w:val="both"/>
        <w:spacing w:after="0" w:line="17" w:lineRule="atLeast"/>
        <w:widowControl w:val="off"/>
        <w:tabs>
          <w:tab w:val="left" w:pos="720" w:leader="none"/>
          <w:tab w:val="right" w:pos="1600" w:leader="none"/>
        </w:tabs>
        <w:rPr>
          <w:rFonts w:ascii="Tinos" w:hAnsi="Tinos" w:cs="Tinos"/>
        </w:rPr>
      </w:pPr>
      <w:r>
        <w:rPr>
          <w:rFonts w:ascii="Tinos" w:hAnsi="Tinos" w:eastAsia="Tinos" w:cs="Tinos"/>
        </w:rPr>
        <w:t xml:space="preserve">- ведет налоговый учет и составляет налоговую отчетность в соответствии с законодательст</w:t>
      </w:r>
      <w:r>
        <w:rPr>
          <w:rFonts w:ascii="Tinos" w:hAnsi="Tinos" w:eastAsia="Tinos" w:cs="Tinos"/>
        </w:rPr>
        <w:t xml:space="preserve">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r>
        <w:rPr>
          <w:rFonts w:ascii="Tinos" w:hAnsi="Tinos" w:cs="Tinos"/>
        </w:rPr>
      </w:r>
    </w:p>
    <w:p>
      <w:pPr>
        <w:jc w:val="both"/>
        <w:spacing w:after="0" w:line="17" w:lineRule="atLeast"/>
        <w:widowControl w:val="off"/>
        <w:tabs>
          <w:tab w:val="left" w:pos="720" w:leader="none"/>
          <w:tab w:val="right" w:pos="1600" w:leader="none"/>
        </w:tabs>
        <w:rPr>
          <w:rFonts w:ascii="Tinos" w:hAnsi="Tinos" w:cs="Tinos"/>
        </w:rPr>
      </w:pPr>
      <w:r>
        <w:rPr>
          <w:rFonts w:ascii="Tinos" w:hAnsi="Tinos" w:eastAsia="Tinos" w:cs="Tinos"/>
        </w:rPr>
        <w:t xml:space="preserve">- не допускает искажения сведений о фактах хозяйс</w:t>
      </w:r>
      <w:r>
        <w:rPr>
          <w:rFonts w:ascii="Tinos" w:hAnsi="Tinos" w:eastAsia="Tinos" w:cs="Tinos"/>
        </w:rPr>
        <w:t xml:space="preserve">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w:t>
      </w:r>
      <w:r>
        <w:rPr>
          <w:rFonts w:ascii="Tinos" w:hAnsi="Tinos" w:eastAsia="Tinos" w:cs="Tinos"/>
          <w:spacing w:val="-4"/>
        </w:rPr>
        <w:t xml:space="preserve">в бухгалтерской и налоговой отчетно</w:t>
      </w:r>
      <w:r>
        <w:rPr>
          <w:rFonts w:ascii="Tinos" w:hAnsi="Tinos" w:eastAsia="Tinos" w:cs="Tinos"/>
          <w:spacing w:val="-4"/>
        </w:rPr>
        <w:t xml:space="preserve">сти факты хозяйственной жизни выборочно,</w:t>
      </w:r>
      <w:r>
        <w:rPr>
          <w:rFonts w:ascii="Tinos" w:hAnsi="Tinos" w:eastAsia="Tinos" w:cs="Tinos"/>
        </w:rPr>
        <w:t xml:space="preserve"> игнорируя те из них, которые непосредственно не связаны с получением налоговой выгоды;</w:t>
      </w:r>
      <w:r>
        <w:rPr>
          <w:rFonts w:ascii="Tinos" w:hAnsi="Tinos" w:cs="Tinos"/>
        </w:rPr>
      </w:r>
    </w:p>
    <w:p>
      <w:pPr>
        <w:jc w:val="both"/>
        <w:spacing w:after="0" w:line="17" w:lineRule="atLeast"/>
        <w:widowControl w:val="off"/>
        <w:tabs>
          <w:tab w:val="left" w:pos="720" w:leader="none"/>
          <w:tab w:val="right" w:pos="1600" w:leader="none"/>
        </w:tabs>
        <w:rPr>
          <w:rFonts w:ascii="Tinos" w:hAnsi="Tinos" w:cs="Tinos"/>
        </w:rPr>
      </w:pPr>
      <w:r>
        <w:rPr>
          <w:rFonts w:ascii="Tinos" w:hAnsi="Tinos" w:eastAsia="Tinos" w:cs="Tinos"/>
        </w:rPr>
        <w:t xml:space="preserve">- своевременно и в полном объеме уплачивает налоги, сборы и страховые взносы;</w:t>
      </w:r>
      <w:r>
        <w:rPr>
          <w:rFonts w:ascii="Tinos" w:hAnsi="Tinos" w:cs="Tinos"/>
        </w:rPr>
      </w:r>
    </w:p>
    <w:p>
      <w:pPr>
        <w:jc w:val="both"/>
        <w:spacing w:after="0" w:line="17" w:lineRule="atLeast"/>
        <w:widowControl w:val="off"/>
        <w:tabs>
          <w:tab w:val="left" w:pos="720" w:leader="none"/>
          <w:tab w:val="right" w:pos="1600" w:leader="none"/>
        </w:tabs>
        <w:rPr>
          <w:rFonts w:ascii="Tinos" w:hAnsi="Tinos" w:cs="Tinos"/>
        </w:rPr>
      </w:pPr>
      <w:r>
        <w:rPr>
          <w:rFonts w:ascii="Tinos" w:hAnsi="Tinos" w:eastAsia="Tinos" w:cs="Tinos"/>
        </w:rPr>
        <w:t xml:space="preserve">- отражает в налоговой отчетности по НДС все суммы</w:t>
      </w:r>
      <w:r>
        <w:rPr>
          <w:rFonts w:ascii="Tinos" w:hAnsi="Tinos" w:eastAsia="Tinos" w:cs="Tinos"/>
        </w:rPr>
        <w:t xml:space="preserve"> НДС, предъявленные Покупателю;</w:t>
      </w:r>
      <w:r>
        <w:rPr>
          <w:rFonts w:ascii="Tinos" w:hAnsi="Tinos" w:cs="Tinos"/>
        </w:rPr>
      </w:r>
    </w:p>
    <w:p>
      <w:pPr>
        <w:jc w:val="both"/>
        <w:spacing w:after="0" w:line="17" w:lineRule="atLeast"/>
        <w:widowControl w:val="off"/>
        <w:tabs>
          <w:tab w:val="left" w:pos="720" w:leader="none"/>
          <w:tab w:val="right" w:pos="1600" w:leader="none"/>
        </w:tabs>
        <w:rPr>
          <w:rFonts w:ascii="Tinos" w:hAnsi="Tinos" w:cs="Tinos"/>
        </w:rPr>
      </w:pPr>
      <w:r>
        <w:rPr>
          <w:rFonts w:ascii="Tinos" w:hAnsi="Tinos" w:eastAsia="Tinos" w:cs="Tinos"/>
        </w:rPr>
        <w:t xml:space="preserve">- лица, подписывающие от его имени первичные документы и счета-фактуры, имеют на это все необходимые полномочия и доверенности.</w:t>
      </w:r>
      <w:r>
        <w:rPr>
          <w:rFonts w:ascii="Tinos" w:hAnsi="Tinos" w:cs="Tinos"/>
        </w:rPr>
      </w:r>
    </w:p>
    <w:p>
      <w:pPr>
        <w:jc w:val="both"/>
        <w:spacing w:after="0" w:line="17" w:lineRule="atLeast"/>
        <w:widowControl w:val="off"/>
        <w:tabs>
          <w:tab w:val="left" w:pos="720" w:leader="none"/>
          <w:tab w:val="right" w:pos="1600" w:leader="none"/>
        </w:tabs>
        <w:rPr>
          <w:rFonts w:ascii="Tinos" w:hAnsi="Tinos" w:cs="Tinos"/>
        </w:rPr>
      </w:pPr>
      <w:r>
        <w:rPr>
          <w:rFonts w:ascii="Tinos" w:hAnsi="Tinos" w:eastAsia="Tinos" w:cs="Tinos"/>
        </w:rPr>
        <w:t xml:space="preserve">12.2. Если Поставщик нарушит гарантии (любую одну, несколько или все вместе), указанные в п. 12.</w:t>
      </w:r>
      <w:r>
        <w:rPr>
          <w:rFonts w:ascii="Tinos" w:hAnsi="Tinos" w:eastAsia="Tinos" w:cs="Tinos"/>
        </w:rPr>
        <w:t xml:space="preserve">1 Договора, и это повлечет:</w:t>
      </w:r>
      <w:r>
        <w:rPr>
          <w:rFonts w:ascii="Tinos" w:hAnsi="Tinos" w:cs="Tinos"/>
        </w:rPr>
      </w:r>
    </w:p>
    <w:p>
      <w:pPr>
        <w:jc w:val="both"/>
        <w:spacing w:after="0" w:line="17" w:lineRule="atLeast"/>
        <w:widowControl w:val="off"/>
        <w:tabs>
          <w:tab w:val="left" w:pos="720" w:leader="none"/>
          <w:tab w:val="right" w:pos="1600" w:leader="none"/>
        </w:tabs>
        <w:rPr>
          <w:rFonts w:ascii="Tinos" w:hAnsi="Tinos" w:cs="Tinos"/>
        </w:rPr>
      </w:pPr>
      <w:r>
        <w:rPr>
          <w:rFonts w:ascii="Tinos" w:hAnsi="Tinos" w:eastAsia="Tinos" w:cs="Tinos"/>
        </w:rPr>
        <w:t xml:space="preserve">- предъявление налоговыми органами требований к Покупателю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w:t>
      </w:r>
      <w:r>
        <w:rPr>
          <w:rFonts w:ascii="Tinos" w:hAnsi="Tinos" w:eastAsia="Tinos" w:cs="Tinos"/>
        </w:rPr>
        <w:t xml:space="preserve">вычетов и (или)</w:t>
      </w:r>
      <w:r>
        <w:rPr>
          <w:rFonts w:ascii="Tinos" w:hAnsi="Tinos" w:cs="Tinos"/>
        </w:rPr>
      </w:r>
    </w:p>
    <w:p>
      <w:pPr>
        <w:jc w:val="both"/>
        <w:spacing w:after="0" w:line="17" w:lineRule="atLeast"/>
        <w:widowControl w:val="off"/>
        <w:tabs>
          <w:tab w:val="left" w:pos="720" w:leader="none"/>
          <w:tab w:val="right" w:pos="1600" w:leader="none"/>
        </w:tabs>
        <w:rPr>
          <w:rFonts w:ascii="Tinos" w:hAnsi="Tinos" w:cs="Tinos"/>
        </w:rPr>
      </w:pPr>
      <w:r>
        <w:rPr>
          <w:rFonts w:ascii="Tinos" w:hAnsi="Tinos" w:eastAsia="Tinos" w:cs="Tinos"/>
        </w:rPr>
        <w:t xml:space="preserve">- предъявление третьими лицами, купившими у Покупателя товары (работы, услуги), имущественные права, являющиеся предметом настоящего Договора, требований к Покупателю о возмещении убытков в </w:t>
      </w:r>
      <w:r>
        <w:rPr>
          <w:rFonts w:ascii="Tinos" w:hAnsi="Tinos" w:eastAsia="Tinos" w:cs="Tinos"/>
        </w:rPr>
        <w:t xml:space="preserve">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 то Поставщик обяз</w:t>
      </w:r>
      <w:r>
        <w:rPr>
          <w:rFonts w:ascii="Tinos" w:hAnsi="Tinos" w:eastAsia="Tinos" w:cs="Tinos"/>
        </w:rPr>
        <w:t xml:space="preserve">уется возместить Покупателю потери, которые последний понес вследствие таких нарушений. </w:t>
      </w:r>
      <w:r>
        <w:rPr>
          <w:rFonts w:ascii="Tinos" w:hAnsi="Tinos" w:cs="Tinos"/>
        </w:rPr>
      </w:r>
    </w:p>
    <w:p>
      <w:pPr>
        <w:jc w:val="both"/>
        <w:spacing w:after="0" w:line="17" w:lineRule="atLeast"/>
        <w:widowControl w:val="off"/>
        <w:tabs>
          <w:tab w:val="left" w:pos="720" w:leader="none"/>
          <w:tab w:val="right" w:pos="1600" w:leader="none"/>
        </w:tabs>
        <w:rPr>
          <w:rFonts w:ascii="Tinos" w:hAnsi="Tinos" w:cs="Tinos"/>
        </w:rPr>
      </w:pPr>
      <w:r>
        <w:rPr>
          <w:rFonts w:ascii="Tinos" w:hAnsi="Tinos" w:eastAsia="Tinos" w:cs="Tinos"/>
        </w:rPr>
        <w:t xml:space="preserve">12.3. Поставщик в соответствии со ст. 406.1 ГК РФ возмещает Покупателю все потери последнего, возникшие в случаях, указанных в п. 12.2 Договора. При этом факт оспарива</w:t>
      </w:r>
      <w:r>
        <w:rPr>
          <w:rFonts w:ascii="Tinos" w:hAnsi="Tinos" w:eastAsia="Tinos" w:cs="Tinos"/>
        </w:rPr>
        <w:t xml:space="preserve">ния или неоспаривания налоговых доначислений в налоговом органе, в том числе вышестоящем, или в суде, а также факт оспаривания или неоспаривания в суде претензий третьих лиц не влияет на обязанность Поставщика возместить имущественные потери.</w:t>
      </w:r>
      <w:r>
        <w:rPr>
          <w:rFonts w:ascii="Tinos" w:hAnsi="Tinos" w:cs="Tinos"/>
        </w:rPr>
      </w:r>
    </w:p>
    <w:p>
      <w:pPr>
        <w:jc w:val="both"/>
        <w:spacing w:after="0" w:line="17" w:lineRule="atLeast"/>
        <w:widowControl w:val="off"/>
        <w:tabs>
          <w:tab w:val="left" w:pos="720" w:leader="none"/>
          <w:tab w:val="right" w:pos="1600" w:leader="none"/>
        </w:tabs>
        <w:rPr>
          <w:rFonts w:ascii="Tinos" w:hAnsi="Tinos" w:cs="Tinos"/>
          <w:spacing w:val="1"/>
        </w:rPr>
      </w:pPr>
      <w:r>
        <w:rPr>
          <w:rFonts w:ascii="Tinos" w:hAnsi="Tinos" w:eastAsia="Tinos" w:cs="Tinos"/>
          <w:spacing w:val="1"/>
        </w:rPr>
        <w:t xml:space="preserve">12.4. Поставщ</w:t>
      </w:r>
      <w:r>
        <w:rPr>
          <w:rFonts w:ascii="Tinos" w:hAnsi="Tinos" w:eastAsia="Tinos" w:cs="Tinos"/>
          <w:spacing w:val="1"/>
        </w:rPr>
        <w:t xml:space="preserve">ик заверяет Покупателя и гарантирует ему, что:</w:t>
      </w:r>
      <w:r>
        <w:rPr>
          <w:rFonts w:ascii="Tinos" w:hAnsi="Tinos" w:cs="Tinos"/>
          <w:spacing w:val="1"/>
        </w:rPr>
      </w:r>
    </w:p>
    <w:p>
      <w:pPr>
        <w:numPr>
          <w:ilvl w:val="0"/>
          <w:numId w:val="47"/>
        </w:numPr>
        <w:jc w:val="both"/>
        <w:spacing w:after="0" w:line="17" w:lineRule="atLeast"/>
        <w:shd w:val="clear" w:color="auto" w:fill="ffffff"/>
        <w:widowControl w:val="off"/>
        <w:tabs>
          <w:tab w:val="num" w:pos="284" w:leader="none"/>
          <w:tab w:val="num" w:pos="567" w:leader="none"/>
          <w:tab w:val="left" w:pos="993" w:leader="none"/>
          <w:tab w:val="left" w:pos="1092" w:leader="none"/>
          <w:tab w:val="left" w:pos="1949" w:leader="none"/>
        </w:tabs>
        <w:rPr>
          <w:rFonts w:ascii="Tinos" w:hAnsi="Tinos" w:cs="Tinos"/>
          <w:spacing w:val="1"/>
        </w:rPr>
      </w:pPr>
      <w:r>
        <w:rPr>
          <w:rFonts w:ascii="Tinos" w:hAnsi="Tinos" w:eastAsia="Tinos" w:cs="Tinos"/>
          <w:spacing w:val="1"/>
        </w:rPr>
        <w:t xml:space="preserve">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Поставщика на правомочия Поставщика </w:t>
      </w:r>
      <w:r>
        <w:rPr>
          <w:rFonts w:ascii="Tinos" w:hAnsi="Tinos" w:eastAsia="Tinos" w:cs="Tinos"/>
          <w:spacing w:val="1"/>
        </w:rPr>
        <w:t xml:space="preserve">по заключению и исполнению Договора;</w:t>
      </w:r>
      <w:r>
        <w:rPr>
          <w:rFonts w:ascii="Tinos" w:hAnsi="Tinos" w:cs="Tinos"/>
          <w:spacing w:val="1"/>
        </w:rPr>
      </w:r>
    </w:p>
    <w:p>
      <w:pPr>
        <w:numPr>
          <w:ilvl w:val="0"/>
          <w:numId w:val="47"/>
        </w:numPr>
        <w:jc w:val="both"/>
        <w:spacing w:after="0" w:line="17" w:lineRule="atLeast"/>
        <w:shd w:val="clear" w:color="auto" w:fill="ffffff"/>
        <w:widowControl w:val="off"/>
        <w:tabs>
          <w:tab w:val="num" w:pos="284" w:leader="none"/>
          <w:tab w:val="num" w:pos="567" w:leader="none"/>
          <w:tab w:val="left" w:pos="993" w:leader="none"/>
          <w:tab w:val="left" w:pos="1092" w:leader="none"/>
          <w:tab w:val="left" w:pos="1949" w:leader="none"/>
        </w:tabs>
        <w:rPr>
          <w:rFonts w:ascii="Tinos" w:hAnsi="Tinos" w:cs="Tinos"/>
          <w:spacing w:val="1"/>
        </w:rPr>
      </w:pPr>
      <w:r>
        <w:rPr>
          <w:rFonts w:ascii="Tinos" w:hAnsi="Tinos" w:eastAsia="Tinos" w:cs="Tinos"/>
          <w:spacing w:val="1"/>
        </w:rPr>
        <w:t xml:space="preserve">органы/представители Поставщика, заключающие Договор, наделены должным образом полномочиями на его заключение, получены все необходимые разрешения и/или одобрения</w:t>
      </w:r>
      <w:r>
        <w:rPr>
          <w:rFonts w:ascii="Tinos" w:hAnsi="Tinos" w:eastAsia="Tinos" w:cs="Tinos"/>
          <w:spacing w:val="4"/>
        </w:rPr>
        <w:t xml:space="preserve"> органов управления </w:t>
      </w:r>
      <w:r>
        <w:rPr>
          <w:rFonts w:ascii="Tinos" w:hAnsi="Tinos" w:eastAsia="Tinos" w:cs="Tinos"/>
          <w:spacing w:val="1"/>
        </w:rPr>
        <w:t xml:space="preserve">Поставщика, и заключением Договора он</w:t>
      </w:r>
      <w:r>
        <w:rPr>
          <w:rFonts w:ascii="Tinos" w:hAnsi="Tinos" w:eastAsia="Tinos" w:cs="Tinos"/>
          <w:spacing w:val="1"/>
        </w:rPr>
        <w:t xml:space="preserve">и не нарушают ни одно из положений уставных, </w:t>
      </w:r>
      <w:r>
        <w:rPr>
          <w:rFonts w:ascii="Tinos" w:hAnsi="Tinos" w:eastAsia="Tinos" w:cs="Tinos"/>
        </w:rPr>
        <w:t xml:space="preserve">внутренних документов и решений органов управления;</w:t>
      </w:r>
      <w:r>
        <w:rPr>
          <w:rFonts w:ascii="Tinos" w:hAnsi="Tinos" w:cs="Tinos"/>
          <w:spacing w:val="1"/>
        </w:rPr>
      </w:r>
    </w:p>
    <w:p>
      <w:pPr>
        <w:jc w:val="both"/>
        <w:spacing w:after="0" w:line="17" w:lineRule="atLeast"/>
        <w:widowControl w:val="off"/>
        <w:tabs>
          <w:tab w:val="num" w:pos="1241" w:leader="none"/>
        </w:tabs>
        <w:rPr>
          <w:rFonts w:ascii="Tinos" w:hAnsi="Tinos" w:cs="Tinos"/>
          <w:spacing w:val="-1"/>
        </w:rPr>
      </w:pPr>
      <w:r>
        <w:rPr>
          <w:rFonts w:ascii="Tinos" w:hAnsi="Tinos" w:eastAsia="Tinos" w:cs="Tinos"/>
          <w:spacing w:val="1"/>
        </w:rPr>
        <w:t xml:space="preserve">- если в период действия Договора в полномочиях органов/представителей Поставщика</w:t>
      </w:r>
      <w:r>
        <w:rPr>
          <w:rFonts w:ascii="Tinos" w:hAnsi="Tinos" w:eastAsia="Tinos" w:cs="Tinos"/>
          <w:spacing w:val="3"/>
        </w:rPr>
        <w:t xml:space="preserve"> произойдут какие-либо изменения либо произойдет изменение органов/представите</w:t>
      </w:r>
      <w:r>
        <w:rPr>
          <w:rFonts w:ascii="Tinos" w:hAnsi="Tinos" w:eastAsia="Tinos" w:cs="Tinos"/>
          <w:spacing w:val="3"/>
        </w:rPr>
        <w:t xml:space="preserve">лей </w:t>
      </w:r>
      <w:r>
        <w:rPr>
          <w:rFonts w:ascii="Tinos" w:hAnsi="Tinos" w:eastAsia="Tinos" w:cs="Tinos"/>
          <w:spacing w:val="1"/>
        </w:rPr>
        <w:t xml:space="preserve">Поставщика, Поставщик обязуется предоставить Покупателю соответствующие документальные </w:t>
      </w:r>
      <w:r>
        <w:rPr>
          <w:rFonts w:ascii="Tinos" w:hAnsi="Tinos" w:eastAsia="Tinos" w:cs="Tinos"/>
          <w:spacing w:val="-1"/>
        </w:rPr>
        <w:t xml:space="preserve">подтверждения. Е</w:t>
      </w:r>
      <w:r>
        <w:rPr>
          <w:rFonts w:ascii="Tinos" w:hAnsi="Tinos" w:eastAsia="Tinos" w:cs="Tinos"/>
          <w:spacing w:val="6"/>
        </w:rPr>
        <w:t xml:space="preserve">сли в связи с вышеуказанными </w:t>
      </w:r>
      <w:r>
        <w:rPr>
          <w:rFonts w:ascii="Tinos" w:hAnsi="Tinos" w:eastAsia="Tinos" w:cs="Tinos"/>
        </w:rPr>
        <w:t xml:space="preserve">изменениями потребуется разрешение и/или одобрение органов управления </w:t>
      </w:r>
      <w:r>
        <w:rPr>
          <w:rFonts w:ascii="Tinos" w:hAnsi="Tinos" w:eastAsia="Tinos" w:cs="Tinos"/>
          <w:spacing w:val="1"/>
        </w:rPr>
        <w:t xml:space="preserve">Поставщика</w:t>
      </w:r>
      <w:r>
        <w:rPr>
          <w:rFonts w:ascii="Tinos" w:hAnsi="Tinos" w:eastAsia="Tinos" w:cs="Tinos"/>
        </w:rPr>
        <w:t xml:space="preserve">, Поставщик обязуется приложить все усил</w:t>
      </w:r>
      <w:r>
        <w:rPr>
          <w:rFonts w:ascii="Tinos" w:hAnsi="Tinos" w:eastAsia="Tinos" w:cs="Tinos"/>
        </w:rPr>
        <w:t xml:space="preserve">ия для получения соответствующего разрешения и/или одобрения своих органов управления и предоставить эти разрешения и/или одобрения. Риск неблагоприятных последствий непредставления документального подтверждения несет </w:t>
      </w:r>
      <w:r>
        <w:rPr>
          <w:rFonts w:ascii="Tinos" w:hAnsi="Tinos" w:eastAsia="Tinos" w:cs="Tinos"/>
          <w:spacing w:val="1"/>
        </w:rPr>
        <w:t xml:space="preserve">Поставщик</w:t>
      </w:r>
      <w:r>
        <w:rPr>
          <w:rFonts w:ascii="Tinos" w:hAnsi="Tinos" w:eastAsia="Tinos" w:cs="Tinos"/>
        </w:rPr>
        <w:t xml:space="preserve">.</w:t>
      </w:r>
      <w:r>
        <w:rPr>
          <w:rFonts w:ascii="Tinos" w:hAnsi="Tinos" w:eastAsia="Tinos" w:cs="Tinos"/>
          <w:spacing w:val="-1"/>
        </w:rPr>
        <w:t xml:space="preserve"> </w:t>
      </w:r>
      <w:r>
        <w:rPr>
          <w:rFonts w:ascii="Tinos" w:hAnsi="Tinos" w:cs="Tinos"/>
          <w:spacing w:val="-1"/>
        </w:rPr>
      </w:r>
    </w:p>
    <w:p>
      <w:pPr>
        <w:jc w:val="both"/>
        <w:spacing w:after="0" w:line="17" w:lineRule="atLeast"/>
        <w:widowControl w:val="off"/>
        <w:tabs>
          <w:tab w:val="num" w:pos="1241" w:leader="none"/>
        </w:tabs>
        <w:rPr>
          <w:rFonts w:ascii="Tinos" w:hAnsi="Tinos" w:cs="Tinos"/>
          <w:spacing w:val="-1"/>
        </w:rPr>
      </w:pPr>
      <w:r>
        <w:rPr>
          <w:rFonts w:ascii="Tinos" w:hAnsi="Tinos" w:eastAsia="Tinos" w:cs="Tinos"/>
          <w:spacing w:val="-1"/>
        </w:rPr>
        <w:t xml:space="preserve">Указанные заверения являют</w:t>
      </w:r>
      <w:r>
        <w:rPr>
          <w:rFonts w:ascii="Tinos" w:hAnsi="Tinos" w:eastAsia="Tinos" w:cs="Tinos"/>
          <w:spacing w:val="-1"/>
        </w:rPr>
        <w:t xml:space="preserve">ся существенными для Покупателя</w:t>
      </w:r>
      <w:r>
        <w:rPr>
          <w:rFonts w:ascii="Tinos" w:hAnsi="Tinos" w:cs="Tinos"/>
          <w:spacing w:val="-1"/>
        </w:rPr>
      </w:r>
    </w:p>
    <w:p>
      <w:pPr>
        <w:jc w:val="both"/>
        <w:spacing w:after="0" w:line="17" w:lineRule="atLeast"/>
        <w:widowControl w:val="off"/>
        <w:tabs>
          <w:tab w:val="num" w:pos="1241" w:leader="none"/>
        </w:tabs>
        <w:rPr>
          <w:rFonts w:ascii="Tinos" w:hAnsi="Tinos" w:cs="Tinos"/>
          <w:spacing w:val="-1"/>
        </w:rPr>
      </w:pPr>
      <w:r>
        <w:rPr>
          <w:rFonts w:ascii="Tinos" w:hAnsi="Tinos" w:eastAsia="Tinos" w:cs="Tinos"/>
          <w:spacing w:val="-1"/>
        </w:rPr>
        <w:t xml:space="preserve">12.5. Если окажется, что какое-либо из заверений и гарантий, данных Поставщиком в Договоре, не соответствует действительности или Поставщик не выполнит обязательств, взятых на себя в соответствии с п. 12.4 Договора, Покупате</w:t>
      </w:r>
      <w:r>
        <w:rPr>
          <w:rFonts w:ascii="Tinos" w:hAnsi="Tinos" w:eastAsia="Tinos" w:cs="Tinos"/>
          <w:spacing w:val="-1"/>
        </w:rPr>
        <w:t xml:space="preserve">ль вправе отказаться от исполнения Договора и требовать от Поставщика возмещения убытков в полном размере. Признание недействительным Договора (или его части) не влечет недействительность положения о праве на возмещение убытков, которое рассматривается Сто</w:t>
      </w:r>
      <w:r>
        <w:rPr>
          <w:rFonts w:ascii="Tinos" w:hAnsi="Tinos" w:eastAsia="Tinos" w:cs="Tinos"/>
          <w:spacing w:val="-1"/>
        </w:rPr>
        <w:t xml:space="preserve">ронами как отдельное соглашение о возмещении убытков в случае невыполнения или ненадлежащего выполнения Поставщиком обязательств, взятых на себя в соответствии с п. 12.4 Договора, что повлекло признание недействительным Договора или его части в судебном по</w:t>
      </w:r>
      <w:r>
        <w:rPr>
          <w:rFonts w:ascii="Tinos" w:hAnsi="Tinos" w:eastAsia="Tinos" w:cs="Tinos"/>
          <w:spacing w:val="-1"/>
        </w:rPr>
        <w:t xml:space="preserve">рядке.</w:t>
      </w:r>
      <w:r>
        <w:rPr>
          <w:rFonts w:ascii="Tinos" w:hAnsi="Tinos" w:cs="Tinos"/>
          <w:spacing w:val="-1"/>
        </w:rPr>
      </w:r>
    </w:p>
    <w:p>
      <w:pPr>
        <w:jc w:val="both"/>
        <w:spacing w:after="0" w:line="17" w:lineRule="atLeast"/>
        <w:widowControl w:val="off"/>
        <w:tabs>
          <w:tab w:val="left" w:pos="1200" w:leader="none"/>
          <w:tab w:val="num" w:pos="1778" w:leader="none"/>
        </w:tabs>
        <w:rPr>
          <w:rFonts w:ascii="Tinos" w:hAnsi="Tinos" w:cs="Tinos"/>
          <w:i/>
          <w:iCs/>
        </w:rPr>
      </w:pPr>
      <w:r>
        <w:rPr>
          <w:rFonts w:ascii="Tinos" w:hAnsi="Tinos" w:eastAsia="Tinos" w:cs="Tinos"/>
          <w:bCs/>
        </w:rPr>
        <w:t xml:space="preserve">12.6. </w:t>
      </w:r>
      <w:r>
        <w:rPr>
          <w:rFonts w:ascii="Tinos" w:hAnsi="Tinos" w:eastAsia="Tinos" w:cs="Tinos"/>
        </w:rPr>
        <w:t xml:space="preserve">Поставщик гарантирует, что Товар находится в его собственности и поставка Товара в соответствии с Договором не нарушает права и законные интересы третьих лиц, Товар не обременен какими бы то ни было обязательствами перед третьими лицами, не на</w:t>
      </w:r>
      <w:r>
        <w:rPr>
          <w:rFonts w:ascii="Tinos" w:hAnsi="Tinos" w:eastAsia="Tinos" w:cs="Tinos"/>
        </w:rPr>
        <w:t xml:space="preserve">ходится под залогом и арестом, а также не нарушает чьих-либо прав на результаты интеллектуальной деятельности, в том числе патентных прав, лицензионных прав, а также прав на средства индивидуализации юридических лиц, товаров, работ, услуг и предприятий, пр</w:t>
      </w:r>
      <w:r>
        <w:rPr>
          <w:rFonts w:ascii="Tinos" w:hAnsi="Tinos" w:eastAsia="Tinos" w:cs="Tinos"/>
        </w:rPr>
        <w:t xml:space="preserve">ав на секреты производства (ноу-хау), связанных с использованием оборудования или любой его части в стране Покупателя. </w:t>
      </w:r>
      <w:r>
        <w:rPr>
          <w:rFonts w:ascii="Tinos" w:hAnsi="Tinos" w:cs="Tinos"/>
          <w:i/>
          <w:iCs/>
        </w:rPr>
      </w:r>
    </w:p>
    <w:p>
      <w:pPr>
        <w:jc w:val="both"/>
        <w:spacing w:after="0" w:line="17" w:lineRule="atLeast"/>
        <w:widowControl w:val="off"/>
        <w:tabs>
          <w:tab w:val="left" w:pos="0" w:leader="none"/>
        </w:tabs>
        <w:rPr>
          <w:rFonts w:ascii="Tinos" w:hAnsi="Tinos" w:cs="Tinos"/>
          <w:bCs/>
        </w:rPr>
      </w:pPr>
      <w:r>
        <w:rPr>
          <w:rFonts w:ascii="Tinos" w:hAnsi="Tinos" w:eastAsia="Tinos" w:cs="Tinos"/>
          <w:bCs/>
        </w:rPr>
        <w:t xml:space="preserve">Поставщик гарантирует, что обладает всеми необходимыми правами и полномочиями на поставку и реализацию Товара, выданными заводом-изготов</w:t>
      </w:r>
      <w:r>
        <w:rPr>
          <w:rFonts w:ascii="Tinos" w:hAnsi="Tinos" w:eastAsia="Tinos" w:cs="Tinos"/>
          <w:bCs/>
        </w:rPr>
        <w:t xml:space="preserve">ителем (в случае, если Поставщик не является изготовителем Товара), и обеспечит предоставление гарантии завода-изготовителя на товар.</w:t>
      </w:r>
      <w:r>
        <w:rPr>
          <w:rFonts w:ascii="Tinos" w:hAnsi="Tinos" w:cs="Tinos"/>
          <w:bCs/>
        </w:rPr>
      </w:r>
    </w:p>
    <w:p>
      <w:pPr>
        <w:jc w:val="both"/>
        <w:spacing w:after="0" w:line="17" w:lineRule="atLeast"/>
        <w:widowControl w:val="off"/>
        <w:tabs>
          <w:tab w:val="left" w:pos="0" w:leader="none"/>
        </w:tabs>
        <w:rPr>
          <w:rFonts w:ascii="Tinos" w:hAnsi="Tinos" w:cs="Tinos"/>
        </w:rPr>
      </w:pPr>
      <w:r>
        <w:rPr>
          <w:rFonts w:ascii="Tinos" w:hAnsi="Tinos" w:eastAsia="Tinos" w:cs="Tinos"/>
          <w:bCs/>
        </w:rPr>
        <w:t xml:space="preserve">При поставке импортного Товара Поставщик гарантирует, что Товар введен в свободное обращение на территории Российской Феде</w:t>
      </w:r>
      <w:r>
        <w:rPr>
          <w:rFonts w:ascii="Tinos" w:hAnsi="Tinos" w:eastAsia="Tinos" w:cs="Tinos"/>
          <w:bCs/>
        </w:rPr>
        <w:t xml:space="preserve">рации и прошел таможенную очистку.</w:t>
      </w:r>
      <w:r>
        <w:rPr>
          <w:rFonts w:ascii="Tinos" w:hAnsi="Tinos" w:cs="Tinos"/>
        </w:rPr>
      </w:r>
    </w:p>
    <w:p>
      <w:pPr>
        <w:jc w:val="both"/>
        <w:spacing w:after="0" w:line="17" w:lineRule="atLeast"/>
        <w:widowControl w:val="off"/>
        <w:tabs>
          <w:tab w:val="left" w:pos="0" w:leader="none"/>
        </w:tabs>
        <w:rPr>
          <w:rFonts w:ascii="Tinos" w:hAnsi="Tinos" w:cs="Tinos"/>
        </w:rPr>
      </w:pPr>
      <w:r>
        <w:rPr>
          <w:rFonts w:ascii="Tinos" w:hAnsi="Tinos" w:eastAsia="Tinos" w:cs="Tinos"/>
        </w:rPr>
        <w:t xml:space="preserve">В случае нарушения настоящего пункта Поставщик самостоятельно и за свой счет обязуется устранить эти нарушения и препятствия для свободного </w:t>
      </w:r>
      <w:r>
        <w:rPr>
          <w:rFonts w:ascii="Tinos" w:hAnsi="Tinos" w:eastAsia="Tinos" w:cs="Tinos"/>
          <w:spacing w:val="-4"/>
        </w:rPr>
        <w:t xml:space="preserve">владения и распоряжения Товаром, его использования Покупателем, и возместить</w:t>
      </w:r>
      <w:r>
        <w:rPr>
          <w:rFonts w:ascii="Tinos" w:hAnsi="Tinos" w:eastAsia="Tinos" w:cs="Tinos"/>
        </w:rPr>
        <w:t xml:space="preserve"> Поку</w:t>
      </w:r>
      <w:r>
        <w:rPr>
          <w:rFonts w:ascii="Tinos" w:hAnsi="Tinos" w:eastAsia="Tinos" w:cs="Tinos"/>
        </w:rPr>
        <w:t xml:space="preserve">пателю убытки, понесенные в связи с указанными нарушениями.</w:t>
      </w:r>
      <w:r>
        <w:rPr>
          <w:rFonts w:ascii="Tinos" w:hAnsi="Tinos" w:cs="Tinos"/>
        </w:rPr>
      </w:r>
    </w:p>
    <w:p>
      <w:pPr>
        <w:jc w:val="both"/>
        <w:spacing w:after="0" w:line="17" w:lineRule="atLeast"/>
        <w:widowControl w:val="off"/>
        <w:tabs>
          <w:tab w:val="left" w:pos="0" w:leader="none"/>
        </w:tabs>
        <w:rPr>
          <w:rFonts w:ascii="Tinos" w:hAnsi="Tinos" w:cs="Tinos"/>
        </w:rPr>
      </w:pPr>
      <w:r>
        <w:rPr>
          <w:rFonts w:ascii="Tinos" w:hAnsi="Tinos" w:eastAsia="Tinos" w:cs="Tinos"/>
        </w:rPr>
        <w:t xml:space="preserve">12.7. В случае если Покупатель будет привлечен к ответственности за нарушение прав третьих лиц, вытекающих из продажи или использования Товара, поставленного в соответствии с Договором, Покупатель</w:t>
      </w:r>
      <w:r>
        <w:rPr>
          <w:rFonts w:ascii="Tinos" w:hAnsi="Tinos" w:eastAsia="Tinos" w:cs="Tinos"/>
        </w:rPr>
        <w:t xml:space="preserve"> имеет право привлечь Поставщика к участию в указанном деле, и Поставщик обязуется выступать на стороне Покупателя в качестве третьего лица, не заявляющего самостоятельных требований. Поставщик обязуется представлять Покупателю по его первому требованию лю</w:t>
      </w:r>
      <w:r>
        <w:rPr>
          <w:rFonts w:ascii="Tinos" w:hAnsi="Tinos" w:eastAsia="Tinos" w:cs="Tinos"/>
        </w:rPr>
        <w:t xml:space="preserve">бую необходимую документацию.</w:t>
      </w:r>
      <w:r>
        <w:rPr>
          <w:rFonts w:ascii="Tinos" w:hAnsi="Tinos" w:cs="Tinos"/>
        </w:rPr>
      </w:r>
    </w:p>
    <w:p>
      <w:pPr>
        <w:jc w:val="both"/>
        <w:spacing w:after="0" w:line="17" w:lineRule="atLeast"/>
        <w:widowControl w:val="off"/>
        <w:tabs>
          <w:tab w:val="left" w:pos="0" w:leader="none"/>
        </w:tabs>
        <w:rPr>
          <w:rFonts w:ascii="Tinos" w:hAnsi="Tinos" w:cs="Tinos"/>
        </w:rPr>
      </w:pPr>
      <w:r>
        <w:rPr>
          <w:rFonts w:ascii="Tinos" w:hAnsi="Tinos" w:eastAsia="Tinos" w:cs="Tinos"/>
        </w:rPr>
        <w:t xml:space="preserve">В том случае, если привлечение Покупателя к ответственности за нарушение прав третьих лиц происходит не по вине Покупателя, Поставщик обязуется возместить Покупателю все расходы по ведению судебного процесса и иные расходы, ко</w:t>
      </w:r>
      <w:r>
        <w:rPr>
          <w:rFonts w:ascii="Tinos" w:hAnsi="Tinos" w:eastAsia="Tinos" w:cs="Tinos"/>
        </w:rPr>
        <w:t xml:space="preserve">торые будет нести Покупатель в связи с вступлением решения суда в законную силу, а также все иные убытки, понесенные Покупателем, включая расходы на оплату юридических услуг.</w:t>
      </w:r>
      <w:r>
        <w:rPr>
          <w:rFonts w:ascii="Tinos" w:hAnsi="Tinos" w:cs="Tinos"/>
        </w:rPr>
      </w:r>
    </w:p>
    <w:p>
      <w:pPr>
        <w:jc w:val="both"/>
        <w:spacing w:after="0" w:line="17" w:lineRule="atLeast"/>
        <w:widowControl w:val="off"/>
        <w:rPr>
          <w:rFonts w:ascii="Tinos" w:hAnsi="Tinos" w:cs="Tinos"/>
        </w:rPr>
      </w:pPr>
      <w:r>
        <w:rPr>
          <w:rFonts w:ascii="Tinos" w:hAnsi="Tinos" w:eastAsia="Tinos" w:cs="Tinos"/>
          <w:bCs/>
        </w:rPr>
        <w:t xml:space="preserve">12.8.</w:t>
      </w:r>
      <w:r>
        <w:rPr>
          <w:rFonts w:ascii="Tinos" w:hAnsi="Tinos" w:eastAsia="Tinos" w:cs="Tinos"/>
        </w:rPr>
        <w:t xml:space="preserve"> Покупатель оставляет за собой право по своему усмотрению проводить проверку деятельности Поставщика, его документов и записей в связи с исполнением Договора. Покупатель обязуется предоставить письменное уведомление о такой проверке не позднее 20 (двадцати</w:t>
      </w:r>
      <w:r>
        <w:rPr>
          <w:rFonts w:ascii="Tinos" w:hAnsi="Tinos" w:eastAsia="Tinos" w:cs="Tinos"/>
        </w:rPr>
        <w:t xml:space="preserve">) рабочих дней с даты предполагаемой проверки и может проводить ее самостоятельно или с привлечением третьей стороны.</w:t>
      </w:r>
      <w:r>
        <w:rPr>
          <w:rFonts w:ascii="Tinos" w:hAnsi="Tinos" w:cs="Tinos"/>
        </w:rPr>
      </w:r>
    </w:p>
    <w:p>
      <w:pPr>
        <w:contextualSpacing/>
        <w:jc w:val="both"/>
        <w:spacing w:after="0" w:line="17" w:lineRule="atLeast"/>
        <w:widowControl w:val="off"/>
        <w:tabs>
          <w:tab w:val="left" w:pos="1134" w:leader="none"/>
        </w:tabs>
        <w:rPr>
          <w:rFonts w:ascii="Tinos" w:hAnsi="Tinos" w:cs="Tinos"/>
        </w:rPr>
      </w:pPr>
      <w:r>
        <w:rPr>
          <w:rFonts w:ascii="Tinos" w:hAnsi="Tinos" w:eastAsia="Tinos" w:cs="Tinos"/>
        </w:rPr>
        <w:t xml:space="preserve">Поставщик должен подтвердить получение указанного уведомления </w:t>
      </w:r>
      <w:r>
        <w:rPr>
          <w:rFonts w:ascii="Tinos" w:hAnsi="Tinos" w:eastAsia="Tinos" w:cs="Tinos"/>
        </w:rPr>
        <w:br/>
        <w:t xml:space="preserve">от Покупателя не позднее 5 (пяти) рабочих дней с даты получения уведомления</w:t>
      </w:r>
      <w:r>
        <w:rPr>
          <w:rFonts w:ascii="Tinos" w:hAnsi="Tinos" w:eastAsia="Tinos" w:cs="Tinos"/>
        </w:rPr>
        <w:t xml:space="preserve"> </w:t>
      </w:r>
      <w:r>
        <w:rPr>
          <w:rFonts w:ascii="Tinos" w:hAnsi="Tinos" w:eastAsia="Tinos" w:cs="Tinos"/>
        </w:rPr>
        <w:br/>
        <w:t xml:space="preserve">и подтвердить дату проведения проверки в течение 10 (десяти) рабочих дней после получения такого уведомления. Покупатель или уполномоченная третья сторона могут интервьюировать работника Поставщика в связи с проведением проверки.</w:t>
      </w:r>
      <w:r>
        <w:rPr>
          <w:rFonts w:ascii="Tinos" w:hAnsi="Tinos" w:cs="Tinos"/>
        </w:rPr>
      </w:r>
    </w:p>
    <w:p>
      <w:pPr>
        <w:contextualSpacing/>
        <w:jc w:val="both"/>
        <w:spacing w:after="0" w:line="17" w:lineRule="atLeast"/>
        <w:widowControl w:val="off"/>
        <w:tabs>
          <w:tab w:val="left" w:pos="1134" w:leader="none"/>
        </w:tabs>
        <w:rPr>
          <w:rFonts w:ascii="Tinos" w:hAnsi="Tinos" w:cs="Tinos"/>
        </w:rPr>
      </w:pPr>
      <w:r>
        <w:rPr>
          <w:rFonts w:ascii="Tinos" w:hAnsi="Tinos" w:eastAsia="Tinos" w:cs="Tinos"/>
        </w:rPr>
        <w:t xml:space="preserve">Если в результате провер</w:t>
      </w:r>
      <w:r>
        <w:rPr>
          <w:rFonts w:ascii="Tinos" w:hAnsi="Tinos" w:eastAsia="Tinos" w:cs="Tinos"/>
        </w:rPr>
        <w:t xml:space="preserve">ки выявятся случаи несоблюдения Поставщиком предоставленных им гарантий и заверений, Поставщик обязан не позднее 10 (десяти) рабочих дней с даты указанного выявления принять меры по устранению несоответствий и проинформировать о таких мерах Покупателя в пи</w:t>
      </w:r>
      <w:r>
        <w:rPr>
          <w:rFonts w:ascii="Tinos" w:hAnsi="Tinos" w:eastAsia="Tinos" w:cs="Tinos"/>
        </w:rPr>
        <w:t xml:space="preserve">сьменной </w:t>
      </w:r>
      <w:r>
        <w:rPr>
          <w:rFonts w:ascii="Tinos" w:hAnsi="Tinos" w:eastAsia="Tinos" w:cs="Tinos"/>
          <w:spacing w:val="-4"/>
        </w:rPr>
        <w:t xml:space="preserve">форме. Меры по устранению несоответствий должны приниматься Поставщиком</w:t>
      </w:r>
      <w:r>
        <w:rPr>
          <w:rFonts w:ascii="Tinos" w:hAnsi="Tinos" w:eastAsia="Tinos" w:cs="Tinos"/>
        </w:rPr>
        <w:t xml:space="preserve"> за свой счет.</w:t>
      </w:r>
      <w:r>
        <w:rPr>
          <w:rFonts w:ascii="Tinos" w:hAnsi="Tinos" w:cs="Tinos"/>
        </w:rPr>
      </w:r>
    </w:p>
    <w:p>
      <w:pPr>
        <w:contextualSpacing/>
        <w:jc w:val="both"/>
        <w:spacing w:after="0" w:line="17" w:lineRule="atLeast"/>
        <w:widowControl w:val="off"/>
        <w:tabs>
          <w:tab w:val="left" w:pos="1134" w:leader="none"/>
        </w:tabs>
        <w:rPr>
          <w:rFonts w:ascii="Tinos" w:hAnsi="Tinos" w:cs="Tinos"/>
        </w:rPr>
      </w:pPr>
      <w:r>
        <w:rPr>
          <w:rFonts w:ascii="Tinos" w:hAnsi="Tinos" w:eastAsia="Tinos" w:cs="Tinos"/>
        </w:rPr>
        <w:t xml:space="preserve">В случае если Поставщик отказывается от проведения проверки либо </w:t>
      </w:r>
      <w:r>
        <w:rPr>
          <w:rFonts w:ascii="Tinos" w:hAnsi="Tinos" w:eastAsia="Tinos" w:cs="Tinos"/>
        </w:rPr>
        <w:br/>
        <w:t xml:space="preserve">не принимает меры по устранению несоответствий или если несоответствия </w:t>
      </w:r>
      <w:r>
        <w:rPr>
          <w:rFonts w:ascii="Tinos" w:hAnsi="Tinos" w:eastAsia="Tinos" w:cs="Tinos"/>
          <w:spacing w:val="-4"/>
        </w:rPr>
        <w:t xml:space="preserve">невозможно устранить, то Покупатель оставляет за собой право в одностороннем</w:t>
      </w:r>
      <w:r>
        <w:rPr>
          <w:rFonts w:ascii="Tinos" w:hAnsi="Tinos" w:eastAsia="Tinos" w:cs="Tinos"/>
        </w:rPr>
        <w:t xml:space="preserve"> внесудебном порядке отказаться от исполнения Договора путем направления соответствующего письменного уведомления нарушившей стороне.</w:t>
      </w:r>
      <w:r>
        <w:rPr>
          <w:rFonts w:ascii="Tinos" w:hAnsi="Tinos" w:cs="Tinos"/>
        </w:rPr>
      </w:r>
    </w:p>
    <w:p>
      <w:pPr>
        <w:jc w:val="both"/>
        <w:spacing w:after="0" w:line="17" w:lineRule="atLeast"/>
        <w:widowControl w:val="off"/>
        <w:rPr>
          <w:rFonts w:ascii="Tinos" w:hAnsi="Tinos" w:cs="Tinos"/>
          <w:spacing w:val="-1"/>
        </w:rPr>
      </w:pPr>
      <w:r>
        <w:rPr>
          <w:rFonts w:ascii="Tinos" w:hAnsi="Tinos" w:eastAsia="Tinos" w:cs="Tinos"/>
          <w:bCs/>
        </w:rPr>
        <w:t xml:space="preserve">12.9. Передача и использование Сторонами по До</w:t>
      </w:r>
      <w:r>
        <w:rPr>
          <w:rFonts w:ascii="Tinos" w:hAnsi="Tinos" w:eastAsia="Tinos" w:cs="Tinos"/>
          <w:bCs/>
        </w:rPr>
        <w:t xml:space="preserve">говору информации, составляющей коммерческую тайну, осуществляются на основании соглашения о конфиденциальности, заключаемого Сторонами по типовой форме, утвержденной Покупателем.</w:t>
      </w:r>
      <w:r>
        <w:rPr>
          <w:rFonts w:ascii="Tinos" w:hAnsi="Tinos" w:eastAsia="Tinos" w:cs="Tinos"/>
          <w:spacing w:val="-1"/>
        </w:rPr>
        <w:tab/>
      </w:r>
      <w:r>
        <w:rPr>
          <w:rFonts w:ascii="Tinos" w:hAnsi="Tinos" w:cs="Tinos"/>
          <w:spacing w:val="-1"/>
        </w:rPr>
      </w:r>
    </w:p>
    <w:p>
      <w:pPr>
        <w:ind w:right="1133"/>
        <w:jc w:val="center"/>
        <w:spacing w:after="0" w:line="17" w:lineRule="atLeast"/>
        <w:widowControl w:val="off"/>
        <w:rPr>
          <w:rFonts w:ascii="Tinos" w:hAnsi="Tinos" w:cs="Tinos"/>
          <w:b/>
        </w:rPr>
      </w:pPr>
      <w:r>
        <w:rPr>
          <w:rFonts w:ascii="Tinos" w:hAnsi="Tinos" w:eastAsia="Tinos" w:cs="Tinos"/>
          <w:b/>
        </w:rPr>
        <w:t xml:space="preserve">13. Ответственность сторон</w:t>
      </w:r>
      <w:r>
        <w:rPr>
          <w:rFonts w:ascii="Tinos" w:hAnsi="Tinos" w:cs="Tinos"/>
          <w:b/>
        </w:rPr>
      </w:r>
    </w:p>
    <w:p>
      <w:pPr>
        <w:jc w:val="both"/>
        <w:spacing w:after="0" w:line="17" w:lineRule="atLeast"/>
        <w:widowControl w:val="off"/>
        <w:tabs>
          <w:tab w:val="left" w:pos="1134" w:leader="none"/>
          <w:tab w:val="left" w:pos="1260" w:leader="none"/>
          <w:tab w:val="num" w:pos="1495" w:leader="none"/>
        </w:tabs>
        <w:rPr>
          <w:rFonts w:ascii="Tinos" w:hAnsi="Tinos" w:cs="Tinos"/>
        </w:rPr>
      </w:pPr>
      <w:r>
        <w:rPr>
          <w:rFonts w:ascii="Tinos" w:hAnsi="Tinos" w:eastAsia="Tinos" w:cs="Tinos"/>
        </w:rPr>
        <w:t xml:space="preserve">13.1. При нарушении Поставщиком договорных обяза</w:t>
      </w:r>
      <w:r>
        <w:rPr>
          <w:rFonts w:ascii="Tinos" w:hAnsi="Tinos" w:eastAsia="Tinos" w:cs="Tinos"/>
        </w:rPr>
        <w:t xml:space="preserve">тельств Покупатель вправе потребовать от Поставщика:</w:t>
      </w:r>
      <w:r>
        <w:rPr>
          <w:rFonts w:ascii="Tinos" w:hAnsi="Tinos" w:cs="Tinos"/>
        </w:rPr>
      </w:r>
    </w:p>
    <w:p>
      <w:pPr>
        <w:jc w:val="both"/>
        <w:spacing w:after="0" w:line="17" w:lineRule="atLeast"/>
        <w:widowControl w:val="off"/>
        <w:tabs>
          <w:tab w:val="right" w:pos="1600" w:leader="none"/>
        </w:tabs>
        <w:rPr>
          <w:rFonts w:ascii="Tinos" w:hAnsi="Tinos" w:cs="Tinos"/>
        </w:rPr>
      </w:pPr>
      <w:r>
        <w:rPr>
          <w:rFonts w:ascii="Tinos" w:hAnsi="Tinos" w:eastAsia="Tinos" w:cs="Tinos"/>
          <w:spacing w:val="-4"/>
        </w:rPr>
        <w:t xml:space="preserve">13.1.1. При несвоевременном выполнении обязательств по поставке</w:t>
      </w:r>
      <w:r>
        <w:rPr>
          <w:rFonts w:ascii="Tinos" w:hAnsi="Tinos" w:eastAsia="Tinos" w:cs="Tinos"/>
        </w:rPr>
        <w:t xml:space="preserve"> Товара и/или при поставке некачественного Товара (запасных частей к Товару, указанных в Приложении 1 к Договору) и/или недопоставки Товара </w:t>
      </w:r>
      <w:r>
        <w:rPr>
          <w:rFonts w:ascii="Tinos" w:hAnsi="Tinos" w:eastAsia="Tinos" w:cs="Tinos"/>
        </w:rPr>
        <w:t xml:space="preserve">(запасных частей к Товару) - неустойку в размере 0,2% от стоимости не поставленного в срок / недопоставленного или некачественного Товара (запасных частей к Товару) за каждый день просрочки исполнения Поставщиком обязательств до момента поставки Товара (за</w:t>
      </w:r>
      <w:r>
        <w:rPr>
          <w:rFonts w:ascii="Tinos" w:hAnsi="Tinos" w:eastAsia="Tinos" w:cs="Tinos"/>
        </w:rPr>
        <w:t xml:space="preserve">пасных частей к Товару) либо до замены некачественного Товара (</w:t>
      </w:r>
      <w:r>
        <w:rPr>
          <w:rFonts w:ascii="Tinos" w:hAnsi="Tinos" w:eastAsia="Tinos" w:cs="Tinos"/>
          <w:spacing w:val="-2"/>
        </w:rPr>
        <w:t xml:space="preserve">запасных частей к Товару).</w:t>
      </w:r>
      <w:r>
        <w:rPr>
          <w:rFonts w:ascii="Tinos" w:hAnsi="Tinos" w:cs="Tinos"/>
        </w:rPr>
      </w:r>
    </w:p>
    <w:p>
      <w:pPr>
        <w:jc w:val="both"/>
        <w:spacing w:after="0" w:line="17" w:lineRule="atLeast"/>
        <w:widowControl w:val="off"/>
        <w:tabs>
          <w:tab w:val="left" w:pos="720" w:leader="none"/>
          <w:tab w:val="right" w:pos="1600" w:leader="none"/>
        </w:tabs>
        <w:rPr>
          <w:rFonts w:ascii="Tinos" w:hAnsi="Tinos" w:cs="Tinos"/>
          <w:bCs/>
        </w:rPr>
      </w:pPr>
      <w:r>
        <w:rPr>
          <w:rFonts w:ascii="Tinos" w:hAnsi="Tinos" w:eastAsia="Tinos" w:cs="Tinos"/>
          <w:bCs/>
        </w:rPr>
        <w:t xml:space="preserve">13.1.2. За нарушение обязанности, предусмотренной п. 5.1.1 Договора, - неустойку в размере 1 % от суммы, являющейся предметом уступки, перевода долга, иной передачи т</w:t>
      </w:r>
      <w:r>
        <w:rPr>
          <w:rFonts w:ascii="Tinos" w:hAnsi="Tinos" w:eastAsia="Tinos" w:cs="Tinos"/>
          <w:bCs/>
        </w:rPr>
        <w:t xml:space="preserve">ретьему лицу соответственно. </w:t>
      </w:r>
      <w:r>
        <w:rPr>
          <w:rFonts w:ascii="Tinos" w:hAnsi="Tinos" w:cs="Tinos"/>
          <w:bCs/>
        </w:rPr>
      </w:r>
    </w:p>
    <w:p>
      <w:pPr>
        <w:jc w:val="both"/>
        <w:spacing w:after="0" w:line="17" w:lineRule="atLeast"/>
        <w:widowControl w:val="off"/>
        <w:tabs>
          <w:tab w:val="left" w:pos="720" w:leader="none"/>
          <w:tab w:val="right" w:pos="1600" w:leader="none"/>
        </w:tabs>
        <w:rPr>
          <w:rFonts w:ascii="Tinos" w:hAnsi="Tinos" w:cs="Tinos"/>
          <w:bCs/>
        </w:rPr>
      </w:pPr>
      <w:r>
        <w:rPr>
          <w:rFonts w:ascii="Tinos" w:hAnsi="Tinos" w:eastAsia="Tinos" w:cs="Tinos"/>
          <w:bCs/>
        </w:rPr>
        <w:t xml:space="preserve">13.1.3. За несоблюдение процедуры, предусмотренной п. 5.2.1 Договора, - неустойку в размере 1 % от суммы, являющейся предметом уступки (факторинга).</w:t>
      </w:r>
      <w:r>
        <w:rPr>
          <w:rFonts w:ascii="Tinos" w:hAnsi="Tinos" w:cs="Tinos"/>
          <w:bCs/>
        </w:rPr>
      </w:r>
    </w:p>
    <w:p>
      <w:pPr>
        <w:jc w:val="both"/>
        <w:spacing w:after="0" w:line="17" w:lineRule="atLeast"/>
        <w:widowControl w:val="off"/>
        <w:tabs>
          <w:tab w:val="left" w:pos="720" w:leader="none"/>
          <w:tab w:val="right" w:pos="1600" w:leader="none"/>
        </w:tabs>
        <w:rPr>
          <w:rFonts w:ascii="Tinos" w:hAnsi="Tinos" w:cs="Tinos"/>
          <w:bCs/>
        </w:rPr>
      </w:pPr>
      <w:r>
        <w:rPr>
          <w:rFonts w:ascii="Tinos" w:hAnsi="Tinos" w:eastAsia="Tinos" w:cs="Tinos"/>
          <w:bCs/>
        </w:rPr>
        <w:t xml:space="preserve">13.1.3. В случае непредставления или представления ненадлежащих документов, л</w:t>
      </w:r>
      <w:r>
        <w:rPr>
          <w:rFonts w:ascii="Tinos" w:hAnsi="Tinos" w:eastAsia="Tinos" w:cs="Tinos"/>
          <w:bCs/>
        </w:rPr>
        <w:t xml:space="preserve">ибо непредставления или представления недостоверных сведений, подтверждающих страну происхождения поставляемого Товара, - штраф в размере 10 % от цены Договора.</w:t>
      </w:r>
      <w:r>
        <w:rPr>
          <w:rFonts w:ascii="Tinos" w:hAnsi="Tinos" w:cs="Tinos"/>
          <w:bCs/>
        </w:rPr>
      </w:r>
    </w:p>
    <w:p>
      <w:pPr>
        <w:jc w:val="both"/>
        <w:spacing w:after="0" w:line="17" w:lineRule="atLeast"/>
        <w:widowControl w:val="off"/>
        <w:tabs>
          <w:tab w:val="right" w:pos="1600" w:leader="none"/>
        </w:tabs>
        <w:rPr>
          <w:rFonts w:ascii="Tinos" w:hAnsi="Tinos" w:cs="Tinos"/>
        </w:rPr>
      </w:pPr>
      <w:r>
        <w:rPr>
          <w:rFonts w:ascii="Tinos" w:hAnsi="Tinos" w:eastAsia="Tinos" w:cs="Tinos"/>
        </w:rPr>
        <w:t xml:space="preserve">13.2. Уплата неустойки и штрафных санкций за нарушение обязательств не Договору не освобождает </w:t>
      </w:r>
      <w:r>
        <w:rPr>
          <w:rFonts w:ascii="Tinos" w:hAnsi="Tinos" w:eastAsia="Tinos" w:cs="Tinos"/>
        </w:rPr>
        <w:t xml:space="preserve">Поставщика от надлежащего исполнения </w:t>
      </w:r>
      <w:r>
        <w:rPr>
          <w:rFonts w:ascii="Tinos" w:hAnsi="Tinos" w:eastAsia="Tinos" w:cs="Tinos"/>
          <w:spacing w:val="-4"/>
        </w:rPr>
        <w:t xml:space="preserve">нарушенного обязательства по Договору. Срок уплаты неустойки за неисполнение</w:t>
      </w:r>
      <w:r>
        <w:rPr>
          <w:rFonts w:ascii="Tinos" w:hAnsi="Tinos" w:eastAsia="Tinos" w:cs="Tinos"/>
        </w:rPr>
        <w:t xml:space="preserve"> обязательств по Договору - в течение 20 (двадцати) дней со дня получения претензии.</w:t>
      </w:r>
      <w:r>
        <w:rPr>
          <w:rFonts w:ascii="Tinos" w:hAnsi="Tinos" w:cs="Tinos"/>
        </w:rPr>
      </w:r>
    </w:p>
    <w:p>
      <w:pPr>
        <w:jc w:val="both"/>
        <w:spacing w:after="0" w:line="17" w:lineRule="atLeast"/>
        <w:widowControl w:val="off"/>
        <w:tabs>
          <w:tab w:val="left" w:pos="720" w:leader="none"/>
          <w:tab w:val="right" w:pos="1600" w:leader="none"/>
        </w:tabs>
        <w:rPr>
          <w:rFonts w:ascii="Tinos" w:hAnsi="Tinos" w:cs="Tinos"/>
        </w:rPr>
      </w:pPr>
      <w:r>
        <w:rPr>
          <w:rFonts w:ascii="Tinos" w:hAnsi="Tinos" w:eastAsia="Tinos" w:cs="Tinos"/>
        </w:rPr>
        <w:t xml:space="preserve">13.3. Покупатель вправе сверх неустойки, предусмотренной Д</w:t>
      </w:r>
      <w:r>
        <w:rPr>
          <w:rFonts w:ascii="Tinos" w:hAnsi="Tinos" w:eastAsia="Tinos" w:cs="Tinos"/>
        </w:rPr>
        <w:t xml:space="preserve">оговором, требовать возмещения причиненных ему убытков в полном объеме, в том числе упущенную выгоду, при любом неисполнении или ненадлежащем исполнении Поставщиком своих обязательств по Договору.</w:t>
      </w:r>
      <w:r>
        <w:rPr>
          <w:rFonts w:ascii="Tinos" w:hAnsi="Tinos" w:cs="Tinos"/>
        </w:rPr>
      </w:r>
    </w:p>
    <w:p>
      <w:pPr>
        <w:jc w:val="both"/>
        <w:spacing w:after="0" w:line="17" w:lineRule="atLeast"/>
        <w:widowControl w:val="off"/>
        <w:tabs>
          <w:tab w:val="num" w:pos="1241" w:leader="none"/>
        </w:tabs>
        <w:rPr>
          <w:rFonts w:ascii="Tinos" w:hAnsi="Tinos" w:cs="Tinos"/>
        </w:rPr>
      </w:pPr>
      <w:r>
        <w:rPr>
          <w:rFonts w:ascii="Tinos" w:hAnsi="Tinos" w:eastAsia="Tinos" w:cs="Tinos"/>
        </w:rPr>
        <w:t xml:space="preserve">13.4. В случае просрочки оплаты принятого Товара Покупатель</w:t>
      </w:r>
      <w:r>
        <w:rPr>
          <w:rFonts w:ascii="Tinos" w:hAnsi="Tinos" w:eastAsia="Tinos" w:cs="Tinos"/>
        </w:rPr>
        <w:t xml:space="preserve"> по требованию Поставщика уплачивает неустойку в размере 1/360 ключевой ставки, установленной Банком России на день просрочки исполнения обязательства, от суммы просроченного платежа за каждый день просрочки до полной оплаты принятого Товара, но не более 5</w:t>
      </w:r>
      <w:r>
        <w:rPr>
          <w:rFonts w:ascii="Tinos" w:hAnsi="Tinos" w:eastAsia="Tinos" w:cs="Tinos"/>
        </w:rPr>
        <w:t xml:space="preserve">% от цены Договора.</w:t>
      </w:r>
      <w:r>
        <w:rPr>
          <w:rFonts w:ascii="Tinos" w:hAnsi="Tinos" w:cs="Tinos"/>
        </w:rPr>
      </w:r>
    </w:p>
    <w:p>
      <w:pPr>
        <w:jc w:val="both"/>
        <w:spacing w:after="0" w:line="17" w:lineRule="atLeast"/>
        <w:widowControl w:val="off"/>
        <w:tabs>
          <w:tab w:val="num" w:pos="1241" w:leader="none"/>
        </w:tabs>
        <w:rPr>
          <w:rFonts w:ascii="Tinos" w:hAnsi="Tinos" w:cs="Tinos"/>
        </w:rPr>
      </w:pPr>
      <w:r>
        <w:rPr>
          <w:rFonts w:ascii="Tinos" w:hAnsi="Tinos" w:eastAsia="Tinos" w:cs="Tinos"/>
        </w:rPr>
        <w:t xml:space="preserve">13.5. Стоимость подлежащего оплате Покупателем Товара по Договору может быть уменьшена Покупателем на сумму начисленных в отношении Поставщика неустоек, убытков и иных санкций (в том числе, путем проведения зачета встречных однородных т</w:t>
      </w:r>
      <w:r>
        <w:rPr>
          <w:rFonts w:ascii="Tinos" w:hAnsi="Tinos" w:eastAsia="Tinos" w:cs="Tinos"/>
        </w:rPr>
        <w:t xml:space="preserve">ребований). Если стоимость Товара по Договору ниже суммы наложенных неустоек, убытков и иных санкций, Покупатель вправе выставить Поставщику счет на оплату санкций, превышающих стоимость Товара по Договору.</w:t>
      </w:r>
      <w:r>
        <w:rPr>
          <w:rFonts w:ascii="Tinos" w:hAnsi="Tinos" w:cs="Tinos"/>
        </w:rPr>
      </w:r>
    </w:p>
    <w:p>
      <w:pPr>
        <w:jc w:val="both"/>
        <w:spacing w:after="0" w:line="17" w:lineRule="atLeast"/>
        <w:widowControl w:val="off"/>
        <w:tabs>
          <w:tab w:val="num" w:pos="1241" w:leader="none"/>
        </w:tabs>
        <w:rPr>
          <w:rFonts w:ascii="Tinos" w:hAnsi="Tinos" w:cs="Tinos"/>
        </w:rPr>
      </w:pPr>
      <w:r>
        <w:rPr>
          <w:rFonts w:ascii="Tinos" w:hAnsi="Tinos" w:eastAsia="Tinos" w:cs="Tinos"/>
        </w:rPr>
        <w:t xml:space="preserve">13.6. Штрафы, неустойки, пени, убытки, включая уп</w:t>
      </w:r>
      <w:r>
        <w:rPr>
          <w:rFonts w:ascii="Tinos" w:hAnsi="Tinos" w:eastAsia="Tinos" w:cs="Tinos"/>
        </w:rPr>
        <w:t xml:space="preserve">ущенную выгоду, проценты за пользование чужими денежными средствами, неосновательное обогащение, судебные издержки и расходы могут быть удержаны Покупателем в безусловном бесспорном внесудебном порядке из </w:t>
      </w:r>
      <w:r>
        <w:rPr>
          <w:rFonts w:ascii="Tinos" w:hAnsi="Tinos" w:eastAsia="Tinos" w:cs="Tinos"/>
          <w:i/>
        </w:rPr>
        <w:t xml:space="preserve">суммы обеспечения исполнения обязательств по Догово</w:t>
      </w:r>
      <w:r>
        <w:rPr>
          <w:rFonts w:ascii="Tinos" w:hAnsi="Tinos" w:eastAsia="Tinos" w:cs="Tinos"/>
          <w:i/>
        </w:rPr>
        <w:t xml:space="preserve">ру, либо получены Покупателем от лица, обеспечившего независимой гарантией исполнение Поставщиком  своих обязательств по Договору</w:t>
      </w:r>
      <w:r>
        <w:rPr>
          <w:rFonts w:ascii="Tinos" w:hAnsi="Tinos" w:eastAsia="Tinos" w:cs="Tinos"/>
        </w:rPr>
        <w:t xml:space="preserve">.</w:t>
      </w:r>
      <w:r>
        <w:rPr>
          <w:rFonts w:ascii="Tinos" w:hAnsi="Tinos" w:eastAsia="Tinos" w:cs="Tinos"/>
          <w:vertAlign w:val="superscript"/>
        </w:rPr>
        <w:footnoteReference w:id="10"/>
      </w:r>
      <w:r>
        <w:rPr>
          <w:rFonts w:ascii="Tinos" w:hAnsi="Tinos" w:cs="Tinos"/>
        </w:rPr>
      </w:r>
    </w:p>
    <w:p>
      <w:pPr>
        <w:ind w:right="425"/>
        <w:jc w:val="center"/>
        <w:spacing w:after="0" w:line="17" w:lineRule="atLeast"/>
        <w:widowControl w:val="off"/>
        <w:rPr>
          <w:rFonts w:ascii="Tinos" w:hAnsi="Tinos" w:cs="Tinos"/>
          <w:b/>
        </w:rPr>
      </w:pPr>
      <w:r>
        <w:rPr>
          <w:rFonts w:ascii="Tinos" w:hAnsi="Tinos" w:eastAsia="Tinos" w:cs="Tinos"/>
          <w:b/>
        </w:rPr>
        <w:t xml:space="preserve">14. Изменение, прекращение и расторжение Договора</w:t>
      </w:r>
      <w:r>
        <w:rPr>
          <w:rFonts w:ascii="Tinos" w:hAnsi="Tinos" w:cs="Tinos"/>
          <w:b/>
        </w:rPr>
      </w:r>
    </w:p>
    <w:p>
      <w:pPr>
        <w:jc w:val="both"/>
        <w:spacing w:after="0" w:line="17" w:lineRule="atLeast"/>
        <w:widowControl w:val="off"/>
        <w:tabs>
          <w:tab w:val="left" w:pos="0" w:leader="none"/>
          <w:tab w:val="left" w:pos="1260" w:leader="none"/>
        </w:tabs>
        <w:rPr>
          <w:rFonts w:ascii="Tinos" w:hAnsi="Tinos" w:cs="Tinos"/>
        </w:rPr>
      </w:pPr>
      <w:r>
        <w:rPr>
          <w:rFonts w:ascii="Tinos" w:hAnsi="Tinos" w:eastAsia="Tinos" w:cs="Tinos"/>
        </w:rPr>
        <w:t xml:space="preserve">14.1. Любые изменения и дополнения Договора (за исключением случаев, прямо предусмотренных в законодательстве РФ и Договоре) вносятся по взаимному согласию Сторон и оформляются дополнительным соглашением, становящимся со дня его подписания неотъемлемой час</w:t>
      </w:r>
      <w:r>
        <w:rPr>
          <w:rFonts w:ascii="Tinos" w:hAnsi="Tinos" w:eastAsia="Tinos" w:cs="Tinos"/>
        </w:rPr>
        <w:t xml:space="preserve">тью Договора. </w:t>
      </w:r>
      <w:r>
        <w:rPr>
          <w:rFonts w:ascii="Tinos" w:hAnsi="Tinos" w:cs="Tinos"/>
        </w:rPr>
      </w:r>
    </w:p>
    <w:p>
      <w:pPr>
        <w:jc w:val="both"/>
        <w:spacing w:after="0" w:line="17" w:lineRule="atLeast"/>
        <w:widowControl w:val="off"/>
        <w:tabs>
          <w:tab w:val="left" w:pos="0" w:leader="none"/>
          <w:tab w:val="left" w:pos="1260" w:leader="none"/>
        </w:tabs>
        <w:rPr>
          <w:rFonts w:ascii="Tinos" w:hAnsi="Tinos" w:cs="Tinos"/>
        </w:rPr>
      </w:pPr>
      <w:r>
        <w:rPr>
          <w:rFonts w:ascii="Tinos" w:hAnsi="Tinos" w:eastAsia="Tinos" w:cs="Tinos"/>
        </w:rPr>
        <w:t xml:space="preserve">В случае изменения реквизитов, указанных в Договоре, соответствующие изменения считаются внесенными с даты получения Стороной (Сторонами) соответствующего уведомления, подписанного уполномоченным лицом и заверенного печатью соответствующей С</w:t>
      </w:r>
      <w:r>
        <w:rPr>
          <w:rFonts w:ascii="Tinos" w:hAnsi="Tinos" w:eastAsia="Tinos" w:cs="Tinos"/>
        </w:rPr>
        <w:t xml:space="preserve">тороны. </w:t>
      </w:r>
      <w:r>
        <w:rPr>
          <w:rFonts w:ascii="Tinos" w:hAnsi="Tinos" w:cs="Tinos"/>
        </w:rPr>
      </w:r>
    </w:p>
    <w:p>
      <w:pPr>
        <w:jc w:val="both"/>
        <w:spacing w:after="0" w:line="17" w:lineRule="atLeast"/>
        <w:widowControl w:val="off"/>
        <w:tabs>
          <w:tab w:val="left" w:pos="703" w:leader="none"/>
        </w:tabs>
        <w:rPr>
          <w:rFonts w:ascii="Tinos" w:hAnsi="Tinos" w:cs="Tinos"/>
        </w:rPr>
      </w:pPr>
      <w:r>
        <w:rPr>
          <w:rFonts w:ascii="Tinos" w:hAnsi="Tinos" w:eastAsia="Tinos" w:cs="Tinos"/>
        </w:rPr>
        <w:t xml:space="preserve">14.2. Договор может быть расторгнут по соглашению Сторон.</w:t>
      </w:r>
      <w:r>
        <w:rPr>
          <w:rFonts w:ascii="Tinos" w:hAnsi="Tinos" w:cs="Tinos"/>
        </w:rPr>
      </w:r>
    </w:p>
    <w:p>
      <w:pPr>
        <w:jc w:val="both"/>
        <w:spacing w:after="0" w:line="17" w:lineRule="atLeast"/>
        <w:widowControl w:val="off"/>
        <w:tabs>
          <w:tab w:val="left" w:pos="703" w:leader="none"/>
        </w:tabs>
        <w:rPr>
          <w:rFonts w:ascii="Tinos" w:hAnsi="Tinos" w:cs="Tinos"/>
        </w:rPr>
      </w:pPr>
      <w:r>
        <w:rPr>
          <w:rFonts w:ascii="Tinos" w:hAnsi="Tinos" w:eastAsia="Tinos" w:cs="Tinos"/>
        </w:rPr>
        <w:t xml:space="preserve">14.3. Покупатель вправе в одностороннем внесудебном порядке досрочно отказаться от исполнения Договора в одностороннем порядке в случаях:</w:t>
      </w:r>
      <w:r>
        <w:rPr>
          <w:rFonts w:ascii="Tinos" w:hAnsi="Tinos" w:cs="Tinos"/>
        </w:rPr>
      </w:r>
    </w:p>
    <w:p>
      <w:pPr>
        <w:jc w:val="both"/>
        <w:spacing w:after="0" w:line="17" w:lineRule="atLeast"/>
        <w:shd w:val="clear" w:color="auto" w:fill="ffffff"/>
        <w:widowControl w:val="off"/>
        <w:tabs>
          <w:tab w:val="left" w:pos="720" w:leader="none"/>
        </w:tabs>
        <w:rPr>
          <w:rFonts w:ascii="Tinos" w:hAnsi="Tinos" w:cs="Tinos"/>
        </w:rPr>
      </w:pPr>
      <w:r>
        <w:rPr>
          <w:rFonts w:ascii="Tinos" w:hAnsi="Tinos" w:eastAsia="Tinos" w:cs="Tinos"/>
        </w:rPr>
        <w:t xml:space="preserve">-не</w:t>
      </w:r>
      <w:r>
        <w:rPr>
          <w:rFonts w:ascii="Tinos" w:hAnsi="Tinos" w:eastAsia="Tinos" w:cs="Tinos"/>
        </w:rPr>
        <w:t xml:space="preserve">представления информации, предусмотренной Договором, в том числе документов, подтверждающих страну происхождения Товара;</w:t>
      </w:r>
      <w:r>
        <w:rPr>
          <w:rFonts w:ascii="Tinos" w:hAnsi="Tinos" w:cs="Tinos"/>
        </w:rPr>
      </w:r>
    </w:p>
    <w:p>
      <w:pPr>
        <w:jc w:val="both"/>
        <w:spacing w:after="0" w:line="17" w:lineRule="atLeast"/>
        <w:shd w:val="clear" w:color="auto" w:fill="ffffff"/>
        <w:widowControl w:val="off"/>
        <w:tabs>
          <w:tab w:val="left" w:pos="567" w:leader="none"/>
        </w:tabs>
        <w:rPr>
          <w:rFonts w:ascii="Tinos" w:hAnsi="Tinos" w:cs="Tinos"/>
        </w:rPr>
      </w:pPr>
      <w:r>
        <w:rPr>
          <w:rFonts w:ascii="Tinos" w:hAnsi="Tinos" w:eastAsia="Tinos" w:cs="Tinos"/>
        </w:rPr>
        <w:t xml:space="preserve">-отказа Поставщика выполнять часть или весь объем поставок, предусмотренных Договором;</w:t>
      </w:r>
      <w:r>
        <w:rPr>
          <w:rFonts w:ascii="Tinos" w:hAnsi="Tinos" w:cs="Tinos"/>
        </w:rPr>
      </w:r>
    </w:p>
    <w:p>
      <w:pPr>
        <w:jc w:val="both"/>
        <w:spacing w:after="0" w:line="17" w:lineRule="atLeast"/>
        <w:shd w:val="clear" w:color="auto" w:fill="ffffff"/>
        <w:widowControl w:val="off"/>
        <w:tabs>
          <w:tab w:val="left" w:pos="567" w:leader="none"/>
        </w:tabs>
        <w:rPr>
          <w:rFonts w:ascii="Tinos" w:hAnsi="Tinos" w:cs="Tinos"/>
        </w:rPr>
      </w:pPr>
      <w:r>
        <w:rPr>
          <w:rFonts w:ascii="Tinos" w:hAnsi="Tinos" w:eastAsia="Tinos" w:cs="Tinos"/>
          <w:bCs/>
        </w:rPr>
        <w:t xml:space="preserve">-нарушения Поставщиком сроков начала или окончан</w:t>
      </w:r>
      <w:r>
        <w:rPr>
          <w:rFonts w:ascii="Tinos" w:hAnsi="Tinos" w:eastAsia="Tinos" w:cs="Tinos"/>
          <w:bCs/>
        </w:rPr>
        <w:t xml:space="preserve">ия поставки, </w:t>
      </w:r>
      <w:r>
        <w:rPr>
          <w:rFonts w:ascii="Tinos" w:hAnsi="Tinos" w:eastAsia="Tinos" w:cs="Tinos"/>
        </w:rPr>
        <w:t xml:space="preserve">более чем на 15 (пятнадцать)</w:t>
      </w:r>
      <w:r>
        <w:rPr>
          <w:rFonts w:ascii="Tinos" w:hAnsi="Tinos" w:eastAsia="Tinos" w:cs="Tinos"/>
          <w:b/>
          <w:bCs/>
        </w:rPr>
        <w:t xml:space="preserve"> </w:t>
      </w:r>
      <w:r>
        <w:rPr>
          <w:rFonts w:ascii="Tinos" w:hAnsi="Tinos" w:eastAsia="Tinos" w:cs="Tinos"/>
        </w:rPr>
        <w:t xml:space="preserve">дней по причинам, не зависящим от Покупателя;</w:t>
      </w:r>
      <w:r>
        <w:rPr>
          <w:rFonts w:ascii="Tinos" w:hAnsi="Tinos" w:cs="Tinos"/>
        </w:rPr>
      </w:r>
    </w:p>
    <w:p>
      <w:pPr>
        <w:jc w:val="both"/>
        <w:spacing w:after="0" w:line="17" w:lineRule="atLeast"/>
        <w:shd w:val="clear" w:color="auto" w:fill="ffffff"/>
        <w:widowControl w:val="off"/>
        <w:tabs>
          <w:tab w:val="left" w:pos="567" w:leader="none"/>
        </w:tabs>
        <w:rPr>
          <w:rFonts w:ascii="Tinos" w:hAnsi="Tinos" w:cs="Tinos"/>
        </w:rPr>
      </w:pPr>
      <w:r>
        <w:rPr>
          <w:rFonts w:ascii="Tinos" w:hAnsi="Tinos" w:eastAsia="Tinos" w:cs="Tinos"/>
        </w:rPr>
        <w:t xml:space="preserve">-несоблюдения Поставщиком требований по качеству Товара - если Покупателем обнаружены неустранимые недостатки Товара, недостатки, которые не могут быть устранены без не</w:t>
      </w:r>
      <w:r>
        <w:rPr>
          <w:rFonts w:ascii="Tinos" w:hAnsi="Tinos" w:eastAsia="Tinos" w:cs="Tinos"/>
        </w:rPr>
        <w:t xml:space="preserve">соразмерных расходов или затрат времени, иных существенных нарушений, предусмотренных п. 2. ст. 475 ГК РФ;</w:t>
      </w:r>
      <w:r>
        <w:rPr>
          <w:rFonts w:ascii="Tinos" w:hAnsi="Tinos" w:cs="Tinos"/>
        </w:rPr>
      </w:r>
    </w:p>
    <w:p>
      <w:pPr>
        <w:jc w:val="both"/>
        <w:spacing w:after="0" w:line="17" w:lineRule="atLeast"/>
        <w:shd w:val="clear" w:color="auto" w:fill="ffffff"/>
        <w:widowControl w:val="off"/>
        <w:tabs>
          <w:tab w:val="left" w:pos="567" w:leader="none"/>
        </w:tabs>
        <w:rPr>
          <w:rFonts w:ascii="Tinos" w:hAnsi="Tinos" w:cs="Tinos"/>
        </w:rPr>
      </w:pPr>
      <w:r>
        <w:rPr>
          <w:rFonts w:ascii="Tinos" w:hAnsi="Tinos" w:eastAsia="Tinos" w:cs="Tinos"/>
        </w:rPr>
        <w:t xml:space="preserve">-аннулирования лицензий на соответствующую профессиональную деятельность, других актов государственных органов в рамках действующего законодательства</w:t>
      </w:r>
      <w:r>
        <w:rPr>
          <w:rFonts w:ascii="Tinos" w:hAnsi="Tinos" w:eastAsia="Tinos" w:cs="Tinos"/>
        </w:rPr>
        <w:t xml:space="preserve">, лишающих Поставщика права на выполнение поставок, отзыва или аннулирования выданных сертификатов;</w:t>
      </w:r>
      <w:r>
        <w:rPr>
          <w:rFonts w:ascii="Tinos" w:hAnsi="Tinos" w:cs="Tinos"/>
        </w:rPr>
      </w:r>
    </w:p>
    <w:p>
      <w:pPr>
        <w:jc w:val="both"/>
        <w:spacing w:after="0" w:line="17" w:lineRule="atLeast"/>
        <w:shd w:val="clear" w:color="auto" w:fill="ffffff"/>
        <w:widowControl w:val="off"/>
        <w:tabs>
          <w:tab w:val="left" w:pos="567" w:leader="none"/>
        </w:tabs>
        <w:rPr>
          <w:rFonts w:ascii="Tinos" w:hAnsi="Tinos" w:cs="Tinos"/>
        </w:rPr>
      </w:pPr>
      <w:r>
        <w:rPr>
          <w:rFonts w:ascii="Tinos" w:hAnsi="Tinos" w:eastAsia="Tinos" w:cs="Tinos"/>
        </w:rPr>
        <w:t xml:space="preserve">-если в отношении Поставщика принято судом заявление о признании Поставщика (несостоятельным) банкротом; </w:t>
      </w:r>
      <w:r>
        <w:rPr>
          <w:rFonts w:ascii="Tinos" w:hAnsi="Tinos" w:cs="Tinos"/>
        </w:rPr>
      </w:r>
    </w:p>
    <w:p>
      <w:pPr>
        <w:jc w:val="both"/>
        <w:spacing w:after="0" w:line="17" w:lineRule="atLeast"/>
        <w:shd w:val="clear" w:color="auto" w:fill="ffffff"/>
        <w:widowControl w:val="off"/>
        <w:tabs>
          <w:tab w:val="left" w:pos="567" w:leader="none"/>
        </w:tabs>
        <w:rPr>
          <w:rFonts w:ascii="Tinos" w:hAnsi="Tinos" w:cs="Tinos"/>
        </w:rPr>
      </w:pPr>
      <w:r>
        <w:rPr>
          <w:rFonts w:ascii="Tinos" w:hAnsi="Tinos" w:eastAsia="Tinos" w:cs="Tinos"/>
        </w:rPr>
        <w:t xml:space="preserve">-в иных случаях, предусмотренных Договором и закон</w:t>
      </w:r>
      <w:r>
        <w:rPr>
          <w:rFonts w:ascii="Tinos" w:hAnsi="Tinos" w:eastAsia="Tinos" w:cs="Tinos"/>
        </w:rPr>
        <w:t xml:space="preserve">одательством Российской Федерации.</w:t>
      </w:r>
      <w:r>
        <w:rPr>
          <w:rFonts w:ascii="Tinos" w:hAnsi="Tinos" w:cs="Tinos"/>
        </w:rPr>
      </w:r>
    </w:p>
    <w:p>
      <w:pPr>
        <w:jc w:val="both"/>
        <w:spacing w:after="0" w:line="17" w:lineRule="atLeast"/>
        <w:shd w:val="clear" w:color="auto" w:fill="ffffff"/>
        <w:widowControl w:val="off"/>
        <w:tabs>
          <w:tab w:val="left" w:pos="720" w:leader="none"/>
        </w:tabs>
        <w:rPr>
          <w:rFonts w:ascii="Tinos" w:hAnsi="Tinos" w:cs="Tinos"/>
        </w:rPr>
      </w:pPr>
      <w:r>
        <w:rPr>
          <w:rFonts w:ascii="Tinos" w:hAnsi="Tinos" w:eastAsia="Tinos" w:cs="Tinos"/>
        </w:rPr>
        <w:t xml:space="preserve">14.4. Досрочное расторжение (отказ от исполнения) Договора в соответствии с п. 14.3 Договора осуществляется путем направления уведомления с указанием основания и даты расторжения Договора. Договор считается прекращенным с</w:t>
      </w:r>
      <w:r>
        <w:rPr>
          <w:rFonts w:ascii="Tinos" w:hAnsi="Tinos" w:eastAsia="Tinos" w:cs="Tinos"/>
        </w:rPr>
        <w:t xml:space="preserve"> даты, указанной в уведомлении об отказе от исполнения Договора. </w:t>
      </w:r>
      <w:r>
        <w:rPr>
          <w:rFonts w:ascii="Tinos" w:hAnsi="Tinos" w:cs="Tinos"/>
        </w:rPr>
      </w:r>
    </w:p>
    <w:p>
      <w:pPr>
        <w:jc w:val="both"/>
        <w:spacing w:after="0" w:line="17" w:lineRule="atLeast"/>
        <w:shd w:val="clear" w:color="auto" w:fill="ffffff"/>
        <w:widowControl w:val="off"/>
        <w:tabs>
          <w:tab w:val="left" w:pos="720" w:leader="none"/>
        </w:tabs>
        <w:rPr>
          <w:rFonts w:ascii="Tinos" w:hAnsi="Tinos" w:cs="Tinos"/>
        </w:rPr>
      </w:pPr>
      <w:r>
        <w:rPr>
          <w:rFonts w:ascii="Tinos" w:hAnsi="Tinos" w:eastAsia="Tinos" w:cs="Tinos"/>
        </w:rPr>
        <w:t xml:space="preserve">При этом Поставщик обязан продолжить выполнение Договора той части, в которой Покупатель не отказался от его исполнения.</w:t>
      </w:r>
      <w:r>
        <w:rPr>
          <w:rFonts w:ascii="Tinos" w:hAnsi="Tinos" w:cs="Tinos"/>
        </w:rPr>
      </w:r>
    </w:p>
    <w:p>
      <w:pPr>
        <w:jc w:val="both"/>
        <w:spacing w:after="0" w:line="17" w:lineRule="atLeast"/>
        <w:widowControl w:val="off"/>
        <w:rPr>
          <w:rFonts w:ascii="Tinos" w:hAnsi="Tinos" w:cs="Tinos"/>
        </w:rPr>
      </w:pPr>
      <w:r>
        <w:rPr>
          <w:rFonts w:ascii="Tinos" w:hAnsi="Tinos" w:eastAsia="Tinos" w:cs="Tinos"/>
          <w:spacing w:val="-4"/>
        </w:rPr>
        <w:t xml:space="preserve">Односторонний отказ Покупателя от исполнения Договора не освобождает</w:t>
      </w:r>
      <w:r>
        <w:rPr>
          <w:rFonts w:ascii="Tinos" w:hAnsi="Tinos" w:eastAsia="Tinos" w:cs="Tinos"/>
        </w:rPr>
        <w:t xml:space="preserve"> </w:t>
      </w:r>
      <w:r>
        <w:rPr>
          <w:rFonts w:ascii="Tinos" w:hAnsi="Tinos" w:eastAsia="Tinos" w:cs="Tinos"/>
        </w:rPr>
        <w:t xml:space="preserve">Поставщика от обязанности возместить убытки, связанные с нарушением обязательств по Договору.</w:t>
      </w:r>
      <w:r>
        <w:rPr>
          <w:rFonts w:ascii="Tinos" w:hAnsi="Tinos" w:cs="Tinos"/>
        </w:rPr>
      </w:r>
    </w:p>
    <w:p>
      <w:pPr>
        <w:jc w:val="both"/>
        <w:spacing w:after="0" w:line="17" w:lineRule="atLeast"/>
        <w:widowControl w:val="off"/>
        <w:rPr>
          <w:rFonts w:ascii="Tinos" w:hAnsi="Tinos" w:cs="Tinos"/>
        </w:rPr>
      </w:pPr>
      <w:r>
        <w:rPr>
          <w:rFonts w:ascii="Tinos" w:hAnsi="Tinos" w:eastAsia="Tinos" w:cs="Tinos"/>
        </w:rPr>
        <w:t xml:space="preserve">В случае отказа Покупателя от исполнения Договора по основаниям, указанным в п. 14.3 Договора, Поставщик не вправе требовать от Покупателя возмещения убытков, при</w:t>
      </w:r>
      <w:r>
        <w:rPr>
          <w:rFonts w:ascii="Tinos" w:hAnsi="Tinos" w:eastAsia="Tinos" w:cs="Tinos"/>
        </w:rPr>
        <w:t xml:space="preserve">чиненных таким отказом.</w:t>
      </w:r>
      <w:r>
        <w:rPr>
          <w:rFonts w:ascii="Tinos" w:hAnsi="Tinos" w:cs="Tinos"/>
        </w:rPr>
      </w:r>
    </w:p>
    <w:p>
      <w:pPr>
        <w:jc w:val="both"/>
        <w:spacing w:after="0" w:line="17" w:lineRule="atLeast"/>
        <w:widowControl w:val="off"/>
        <w:tabs>
          <w:tab w:val="left" w:pos="703" w:leader="none"/>
          <w:tab w:val="left" w:pos="1400" w:leader="none"/>
        </w:tabs>
        <w:rPr>
          <w:rFonts w:ascii="Tinos" w:hAnsi="Tinos" w:cs="Tinos"/>
          <w:bCs/>
        </w:rPr>
      </w:pPr>
      <w:r>
        <w:rPr>
          <w:rFonts w:ascii="Tinos" w:hAnsi="Tinos" w:eastAsia="Tinos" w:cs="Tinos"/>
          <w:bCs/>
        </w:rPr>
        <w:t xml:space="preserve">14.5. В случае неисполнения Поставщиком обязанностей, установленных п. 5.1.2 Договора, Покупатель вправе в одностороннем внесудебном порядке отказаться от исполнения Договора, письменно уведомив об этом Поставщика. Договор считается</w:t>
      </w:r>
      <w:r>
        <w:rPr>
          <w:rFonts w:ascii="Tinos" w:hAnsi="Tinos" w:eastAsia="Tinos" w:cs="Tinos"/>
          <w:bCs/>
        </w:rPr>
        <w:t xml:space="preserve"> расторгнутым по истечении 5 (пяти) дней с момента получения Поставщиком указанного письменного уведомления Покупателя.</w:t>
      </w:r>
      <w:r>
        <w:rPr>
          <w:rFonts w:ascii="Tinos" w:hAnsi="Tinos" w:eastAsia="Tinos" w:cs="Tinos"/>
        </w:rPr>
        <w:tab/>
      </w:r>
      <w:r>
        <w:rPr>
          <w:rFonts w:ascii="Tinos" w:hAnsi="Tinos" w:cs="Tinos"/>
          <w:bCs/>
        </w:rPr>
      </w:r>
    </w:p>
    <w:p>
      <w:pPr>
        <w:ind w:right="1133"/>
        <w:jc w:val="center"/>
        <w:spacing w:after="0" w:line="17" w:lineRule="atLeast"/>
        <w:widowControl w:val="off"/>
        <w:tabs>
          <w:tab w:val="num" w:pos="426" w:leader="none"/>
        </w:tabs>
        <w:rPr>
          <w:rFonts w:ascii="Tinos" w:hAnsi="Tinos" w:cs="Tinos"/>
          <w:b/>
          <w:bCs/>
        </w:rPr>
      </w:pPr>
      <w:r>
        <w:rPr>
          <w:rFonts w:ascii="Tinos" w:hAnsi="Tinos" w:eastAsia="Tinos" w:cs="Tinos"/>
          <w:b/>
          <w:bCs/>
        </w:rPr>
        <w:t xml:space="preserve">15. Обстоятельства непреодолимой силы</w:t>
      </w:r>
      <w:r>
        <w:rPr>
          <w:rFonts w:ascii="Tinos" w:hAnsi="Tinos" w:cs="Tinos"/>
          <w:b/>
          <w:bCs/>
        </w:rPr>
      </w:r>
    </w:p>
    <w:p>
      <w:pPr>
        <w:jc w:val="both"/>
        <w:spacing w:after="0" w:line="17" w:lineRule="atLeast"/>
        <w:widowControl w:val="off"/>
        <w:tabs>
          <w:tab w:val="left" w:pos="703" w:leader="none"/>
          <w:tab w:val="left" w:pos="1400" w:leader="none"/>
        </w:tabs>
        <w:rPr>
          <w:rFonts w:ascii="Tinos" w:hAnsi="Tinos" w:cs="Tinos"/>
          <w:bCs/>
        </w:rPr>
      </w:pPr>
      <w:r>
        <w:rPr>
          <w:rFonts w:ascii="Tinos" w:hAnsi="Tinos" w:eastAsia="Tinos" w:cs="Tinos"/>
          <w:bCs/>
        </w:rPr>
        <w:t xml:space="preserve">15.1. Стороны освобождаются от ответственности, если неисполнение либо ненадлежащее исполнение п</w:t>
      </w:r>
      <w:r>
        <w:rPr>
          <w:rFonts w:ascii="Tinos" w:hAnsi="Tinos" w:eastAsia="Tinos" w:cs="Tinos"/>
          <w:bCs/>
        </w:rPr>
        <w:t xml:space="preserve">ринятых на себя обязательств вызвано действиями обстоятельств непреодолимой силы (п. 3 ст. 401 ГК РФ).</w:t>
      </w:r>
      <w:r>
        <w:rPr>
          <w:rFonts w:ascii="Tinos" w:hAnsi="Tinos" w:cs="Tinos"/>
          <w:bCs/>
        </w:rPr>
      </w:r>
    </w:p>
    <w:p>
      <w:pPr>
        <w:jc w:val="both"/>
        <w:spacing w:after="0" w:line="17" w:lineRule="atLeast"/>
        <w:widowControl w:val="off"/>
        <w:tabs>
          <w:tab w:val="left" w:pos="703" w:leader="none"/>
          <w:tab w:val="left" w:pos="1400" w:leader="none"/>
        </w:tabs>
        <w:rPr>
          <w:rFonts w:ascii="Tinos" w:hAnsi="Tinos" w:cs="Tinos"/>
          <w:bCs/>
        </w:rPr>
      </w:pPr>
      <w:r>
        <w:rPr>
          <w:rFonts w:ascii="Tinos" w:hAnsi="Tinos" w:eastAsia="Tinos" w:cs="Tinos"/>
          <w:bCs/>
        </w:rPr>
        <w:t xml:space="preserve">Сторона, ссылающаяся на обстоятельства непреодолимой силы, обязана в течение 5 (пяти) дней с момента возникновения таких обстоятельств проинформировать д</w:t>
      </w:r>
      <w:r>
        <w:rPr>
          <w:rFonts w:ascii="Tinos" w:hAnsi="Tinos" w:eastAsia="Tinos" w:cs="Tinos"/>
          <w:bCs/>
        </w:rPr>
        <w:t xml:space="preserve">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w:t>
      </w:r>
      <w:r>
        <w:rPr>
          <w:rFonts w:ascii="Tinos" w:hAnsi="Tinos" w:eastAsia="Tinos" w:cs="Tinos"/>
          <w:bCs/>
        </w:rPr>
        <w:t xml:space="preserve">ации или иного компетентного органа. Извещение должно содержать данные о наступлении и о характере (виде) обстоятельств </w:t>
      </w:r>
      <w:r>
        <w:rPr>
          <w:rFonts w:ascii="Tinos" w:hAnsi="Tinos" w:eastAsia="Tinos" w:cs="Tinos"/>
          <w:bCs/>
          <w:spacing w:val="-4"/>
        </w:rPr>
        <w:t xml:space="preserve">непреодолимой силы, а также (по возможности) оценку их влияния на исполнение</w:t>
      </w:r>
      <w:r>
        <w:rPr>
          <w:rFonts w:ascii="Tinos" w:hAnsi="Tinos" w:eastAsia="Tinos" w:cs="Tinos"/>
          <w:bCs/>
        </w:rPr>
        <w:t xml:space="preserve"> Стороной своих обязательств по Договору и на срок исполнени</w:t>
      </w:r>
      <w:r>
        <w:rPr>
          <w:rFonts w:ascii="Tinos" w:hAnsi="Tinos" w:eastAsia="Tinos" w:cs="Tinos"/>
          <w:bCs/>
        </w:rPr>
        <w:t xml:space="preserve">я обязательств.</w:t>
      </w:r>
      <w:r>
        <w:rPr>
          <w:rFonts w:ascii="Tinos" w:hAnsi="Tinos" w:cs="Tinos"/>
          <w:bCs/>
        </w:rPr>
      </w:r>
    </w:p>
    <w:p>
      <w:pPr>
        <w:jc w:val="both"/>
        <w:spacing w:after="0" w:line="17" w:lineRule="atLeast"/>
        <w:widowControl w:val="off"/>
        <w:tabs>
          <w:tab w:val="left" w:pos="703" w:leader="none"/>
          <w:tab w:val="left" w:pos="1400" w:leader="none"/>
        </w:tabs>
        <w:rPr>
          <w:rFonts w:ascii="Tinos" w:hAnsi="Tinos" w:cs="Tinos"/>
          <w:bCs/>
        </w:rPr>
      </w:pPr>
      <w:r>
        <w:rPr>
          <w:rFonts w:ascii="Tinos" w:hAnsi="Tinos" w:eastAsia="Tinos" w:cs="Tinos"/>
          <w:bCs/>
        </w:rPr>
        <w:t xml:space="preserve">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w:t>
      </w:r>
      <w:r>
        <w:rPr>
          <w:rFonts w:ascii="Tinos" w:hAnsi="Tinos" w:eastAsia="Tinos" w:cs="Tinos"/>
          <w:bCs/>
        </w:rPr>
        <w:t xml:space="preserve">вору, либо обосновать невозможность их исполнения.</w:t>
      </w:r>
      <w:r>
        <w:rPr>
          <w:rFonts w:ascii="Tinos" w:hAnsi="Tinos" w:cs="Tinos"/>
          <w:bCs/>
        </w:rPr>
      </w:r>
    </w:p>
    <w:p>
      <w:pPr>
        <w:jc w:val="both"/>
        <w:spacing w:after="0" w:line="17" w:lineRule="atLeast"/>
        <w:widowControl w:val="off"/>
        <w:tabs>
          <w:tab w:val="left" w:pos="703" w:leader="none"/>
          <w:tab w:val="left" w:pos="1400" w:leader="none"/>
        </w:tabs>
        <w:rPr>
          <w:rFonts w:ascii="Tinos" w:hAnsi="Tinos" w:cs="Tinos"/>
          <w:bCs/>
        </w:rPr>
      </w:pPr>
      <w:r>
        <w:rPr>
          <w:rFonts w:ascii="Tinos" w:hAnsi="Tinos" w:eastAsia="Tinos" w:cs="Tinos"/>
          <w:bCs/>
        </w:rPr>
        <w:t xml:space="preserve">15.2. В случаях, предусмотренных в п. 15.1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w:t>
      </w:r>
      <w:r>
        <w:rPr>
          <w:rFonts w:ascii="Tinos" w:hAnsi="Tinos" w:eastAsia="Tinos" w:cs="Tinos"/>
          <w:bCs/>
        </w:rPr>
        <w:t xml:space="preserve">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w:t>
      </w:r>
      <w:r>
        <w:rPr>
          <w:rFonts w:ascii="Tinos" w:hAnsi="Tinos" w:eastAsia="Tinos" w:cs="Tinos"/>
          <w:bCs/>
        </w:rPr>
        <w:t xml:space="preserve">связанных с прекращением Договора.</w:t>
      </w:r>
      <w:r>
        <w:rPr>
          <w:rFonts w:ascii="Tinos" w:hAnsi="Tinos" w:cs="Tinos"/>
          <w:bCs/>
        </w:rPr>
      </w:r>
    </w:p>
    <w:p>
      <w:pPr>
        <w:jc w:val="both"/>
        <w:spacing w:after="0" w:line="17" w:lineRule="atLeast"/>
        <w:widowControl w:val="off"/>
        <w:tabs>
          <w:tab w:val="left" w:pos="703" w:leader="none"/>
          <w:tab w:val="left" w:pos="1400" w:leader="none"/>
        </w:tabs>
        <w:rPr>
          <w:rFonts w:ascii="Tinos" w:hAnsi="Tinos" w:cs="Tinos"/>
          <w:bCs/>
        </w:rPr>
      </w:pPr>
      <w:r>
        <w:rPr>
          <w:rFonts w:ascii="Tinos" w:hAnsi="Tinos" w:eastAsia="Tinos" w:cs="Tinos"/>
          <w:bCs/>
          <w:spacing w:val="-4"/>
        </w:rPr>
        <w:t xml:space="preserve">15.3. Сторона лишается права ссылаться на обстоятельства непреодолимой</w:t>
      </w:r>
      <w:r>
        <w:rPr>
          <w:rFonts w:ascii="Tinos" w:hAnsi="Tinos" w:eastAsia="Tinos" w:cs="Tinos"/>
          <w:bCs/>
        </w:rPr>
        <w:t xml:space="preserve">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r>
        <w:rPr>
          <w:rFonts w:ascii="Tinos" w:hAnsi="Tinos" w:cs="Tinos"/>
          <w:bCs/>
        </w:rPr>
      </w:r>
    </w:p>
    <w:p>
      <w:pPr>
        <w:jc w:val="both"/>
        <w:spacing w:after="0" w:line="17" w:lineRule="atLeast"/>
        <w:widowControl w:val="off"/>
        <w:tabs>
          <w:tab w:val="left" w:pos="703" w:leader="none"/>
          <w:tab w:val="left" w:pos="1400" w:leader="none"/>
        </w:tabs>
        <w:rPr>
          <w:rFonts w:ascii="Tinos" w:hAnsi="Tinos" w:cs="Tinos"/>
          <w:bCs/>
        </w:rPr>
      </w:pPr>
      <w:r>
        <w:rPr>
          <w:rFonts w:ascii="Tinos" w:hAnsi="Tinos" w:eastAsia="Tinos" w:cs="Tinos"/>
          <w:bCs/>
        </w:rPr>
        <w:t xml:space="preserve">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r>
        <w:rPr>
          <w:rFonts w:ascii="Tinos" w:hAnsi="Tinos" w:cs="Tinos"/>
          <w:bCs/>
        </w:rPr>
      </w:r>
    </w:p>
    <w:p>
      <w:pPr>
        <w:ind w:right="1133"/>
        <w:jc w:val="center"/>
        <w:spacing w:after="0" w:line="17" w:lineRule="atLeast"/>
        <w:widowControl w:val="off"/>
        <w:tabs>
          <w:tab w:val="num" w:pos="426" w:leader="none"/>
        </w:tabs>
        <w:rPr>
          <w:rFonts w:ascii="Tinos" w:hAnsi="Tinos" w:cs="Tinos"/>
          <w:b/>
          <w:bCs/>
        </w:rPr>
      </w:pPr>
      <w:r>
        <w:rPr>
          <w:rFonts w:ascii="Tinos" w:hAnsi="Tinos" w:eastAsia="Tinos" w:cs="Tinos"/>
          <w:b/>
          <w:bCs/>
        </w:rPr>
        <w:t xml:space="preserve">16. Разрешение споров</w:t>
      </w:r>
      <w:r>
        <w:rPr>
          <w:rFonts w:ascii="Tinos" w:hAnsi="Tinos" w:cs="Tinos"/>
          <w:b/>
          <w:bCs/>
        </w:rPr>
      </w:r>
    </w:p>
    <w:p>
      <w:pPr>
        <w:pStyle w:val="1433"/>
        <w:ind w:right="-1"/>
        <w:jc w:val="both"/>
        <w:spacing w:line="17" w:lineRule="atLeast"/>
        <w:widowControl w:val="off"/>
        <w:tabs>
          <w:tab w:val="left" w:pos="9356" w:leader="none"/>
          <w:tab w:val="left" w:pos="9497" w:leader="none"/>
        </w:tabs>
        <w:rPr>
          <w:rFonts w:ascii="Tinos" w:hAnsi="Tinos" w:cs="Tinos"/>
          <w:bCs/>
        </w:rPr>
      </w:pPr>
      <w:r>
        <w:rPr>
          <w:rFonts w:ascii="Tinos" w:hAnsi="Tinos" w:eastAsia="Tinos" w:cs="Tinos"/>
          <w:bCs/>
        </w:rPr>
        <w:t xml:space="preserve">16.1. Все споры, разногласия, претензии и требо</w:t>
      </w:r>
      <w:r>
        <w:rPr>
          <w:rFonts w:ascii="Tinos" w:hAnsi="Tinos" w:eastAsia="Tinos" w:cs="Tinos"/>
          <w:bCs/>
        </w:rPr>
        <w:t xml:space="preserve">вания, возникающие из Договора 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 выбору истца подлежат </w:t>
      </w:r>
      <w:r>
        <w:rPr>
          <w:rFonts w:ascii="Tinos" w:hAnsi="Tinos" w:eastAsia="Tinos" w:cs="Tinos"/>
          <w:bCs/>
          <w:spacing w:val="-4"/>
        </w:rPr>
        <w:t xml:space="preserve">разрешению в Арбитражном су</w:t>
      </w:r>
      <w:r>
        <w:rPr>
          <w:rFonts w:ascii="Tinos" w:hAnsi="Tinos" w:eastAsia="Tinos" w:cs="Tinos"/>
          <w:bCs/>
          <w:spacing w:val="-4"/>
        </w:rPr>
        <w:t xml:space="preserve">де </w:t>
      </w:r>
      <w:r>
        <w:rPr>
          <w:rFonts w:ascii="Tinos" w:hAnsi="Tinos" w:eastAsia="Tinos" w:cs="Tinos"/>
          <w:bCs/>
        </w:rPr>
        <w:t xml:space="preserve"> </w:t>
      </w:r>
      <w:r>
        <w:rPr>
          <w:rFonts w:ascii="Tinos" w:hAnsi="Tinos" w:eastAsia="Tinos" w:cs="Tinos"/>
        </w:rPr>
        <w:t xml:space="preserve"> по месту нахождения АО «Россети Сибирь Тываэнерго»</w:t>
      </w:r>
      <w:r>
        <w:rPr>
          <w:rFonts w:ascii="Tinos" w:hAnsi="Tinos" w:eastAsia="Tinos" w:cs="Tinos"/>
          <w:bCs/>
        </w:rPr>
        <w:t xml:space="preserve"> в соответствии с законодательством или в порядке арбитража (третейского разбирательства), администрируемого Арбитражным центром при </w:t>
      </w:r>
      <w:r>
        <w:rPr>
          <w:rFonts w:ascii="Tinos" w:hAnsi="Tinos" w:eastAsia="Tinos" w:cs="Tinos"/>
          <w:bCs/>
          <w:spacing w:val="-4"/>
        </w:rPr>
        <w:t xml:space="preserve">Российском союзе промышленников и предпринимателей (РСПП) в соответс</w:t>
      </w:r>
      <w:r>
        <w:rPr>
          <w:rFonts w:ascii="Tinos" w:hAnsi="Tinos" w:eastAsia="Tinos" w:cs="Tinos"/>
          <w:bCs/>
          <w:spacing w:val="-4"/>
        </w:rPr>
        <w:t xml:space="preserve">твии</w:t>
      </w:r>
      <w:r>
        <w:rPr>
          <w:rFonts w:ascii="Tinos" w:hAnsi="Tinos" w:eastAsia="Tinos" w:cs="Tinos"/>
          <w:bCs/>
        </w:rPr>
        <w:t xml:space="preserve"> с его правилами, действующими на дату подачи искового заявления.</w:t>
      </w:r>
      <w:r>
        <w:rPr>
          <w:rFonts w:ascii="Tinos" w:hAnsi="Tinos" w:cs="Tinos"/>
          <w:bCs/>
        </w:rPr>
      </w:r>
    </w:p>
    <w:p>
      <w:pPr>
        <w:jc w:val="both"/>
        <w:spacing w:after="0" w:line="17" w:lineRule="atLeast"/>
        <w:widowControl w:val="off"/>
        <w:tabs>
          <w:tab w:val="left" w:pos="703" w:leader="none"/>
          <w:tab w:val="left" w:pos="1400" w:leader="none"/>
        </w:tabs>
        <w:rPr>
          <w:rFonts w:ascii="Tinos" w:hAnsi="Tinos" w:cs="Tinos"/>
          <w:bCs/>
        </w:rPr>
      </w:pPr>
      <w:r>
        <w:rPr>
          <w:rFonts w:ascii="Tinos" w:hAnsi="Tinos" w:eastAsia="Tinos" w:cs="Tinos"/>
          <w:bCs/>
        </w:rPr>
        <w:t xml:space="preserve">Если Споры передаются на разрешение третейского суда, то вынесенное им решение будет окончательным, обязательным для сторон и не подлежит оспариванию.</w:t>
      </w:r>
      <w:r>
        <w:rPr>
          <w:rFonts w:ascii="Tinos" w:hAnsi="Tinos" w:cs="Tinos"/>
          <w:bCs/>
        </w:rPr>
      </w:r>
    </w:p>
    <w:p>
      <w:pPr>
        <w:jc w:val="both"/>
        <w:spacing w:after="0" w:line="17" w:lineRule="atLeast"/>
        <w:widowControl w:val="off"/>
        <w:tabs>
          <w:tab w:val="left" w:pos="703" w:leader="none"/>
          <w:tab w:val="left" w:pos="1400" w:leader="none"/>
        </w:tabs>
        <w:rPr>
          <w:rFonts w:ascii="Tinos" w:hAnsi="Tinos" w:cs="Tinos"/>
          <w:bCs/>
        </w:rPr>
      </w:pPr>
      <w:r>
        <w:rPr>
          <w:rFonts w:ascii="Tinos" w:hAnsi="Tinos" w:eastAsia="Tinos" w:cs="Tinos"/>
          <w:bCs/>
        </w:rPr>
        <w:t xml:space="preserve">Заявление о выдаче исполнительного </w:t>
      </w:r>
      <w:r>
        <w:rPr>
          <w:rFonts w:ascii="Tinos" w:hAnsi="Tinos" w:eastAsia="Tinos" w:cs="Tinos"/>
          <w:bCs/>
        </w:rPr>
        <w:t xml:space="preserve">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w:t>
      </w:r>
      <w:r>
        <w:rPr>
          <w:rFonts w:ascii="Tinos" w:hAnsi="Tinos" w:eastAsia="Tinos" w:cs="Tinos"/>
          <w:bCs/>
        </w:rPr>
        <w:t xml:space="preserve"> по адресу взыскателя.</w:t>
      </w:r>
      <w:r>
        <w:rPr>
          <w:rFonts w:ascii="Tinos" w:hAnsi="Tinos" w:cs="Tinos"/>
          <w:bCs/>
        </w:rPr>
      </w:r>
    </w:p>
    <w:p>
      <w:pPr>
        <w:jc w:val="both"/>
        <w:spacing w:after="0" w:line="17" w:lineRule="atLeast"/>
        <w:widowControl w:val="off"/>
        <w:tabs>
          <w:tab w:val="left" w:pos="703" w:leader="none"/>
          <w:tab w:val="left" w:pos="1400" w:leader="none"/>
        </w:tabs>
        <w:rPr>
          <w:rFonts w:ascii="Tinos" w:hAnsi="Tinos" w:cs="Tinos"/>
          <w:bCs/>
        </w:rPr>
      </w:pPr>
      <w:r>
        <w:rPr>
          <w:rFonts w:ascii="Tinos" w:hAnsi="Tinos" w:eastAsia="Tinos" w:cs="Tinos"/>
          <w:bCs/>
        </w:rPr>
        <w:t xml:space="preserve">Стороны соглашаются, что документы и иные материалы в рамках арбитража могут направляться по следующим адресам электронной почты:</w:t>
      </w:r>
      <w:r>
        <w:rPr>
          <w:rFonts w:ascii="Tinos" w:hAnsi="Tinos" w:cs="Tinos"/>
          <w:bCs/>
        </w:rPr>
      </w:r>
    </w:p>
    <w:p>
      <w:pPr>
        <w:jc w:val="both"/>
        <w:spacing w:after="0" w:line="17" w:lineRule="atLeast"/>
        <w:widowControl w:val="off"/>
        <w:tabs>
          <w:tab w:val="left" w:pos="703" w:leader="none"/>
          <w:tab w:val="left" w:pos="1400" w:leader="none"/>
        </w:tabs>
        <w:rPr>
          <w:rFonts w:ascii="Tinos" w:hAnsi="Tinos" w:cs="Tinos"/>
          <w:bCs/>
        </w:rPr>
      </w:pPr>
      <w:r>
        <w:rPr>
          <w:rFonts w:ascii="Tinos" w:hAnsi="Tinos" w:eastAsia="Tinos" w:cs="Tinos"/>
          <w:bCs/>
        </w:rPr>
        <w:t xml:space="preserve">- АО «Россети Сибирь Тываэнерго»: </w:t>
      </w:r>
      <w:hyperlink r:id="rId18" w:tooltip="mailto:tuvaenergo@tv.rosseti-sib.ru" w:history="1">
        <w:r>
          <w:rPr>
            <w:rStyle w:val="1316"/>
            <w:rFonts w:ascii="Tinos" w:hAnsi="Tinos" w:eastAsia="Tinos" w:cs="Tinos"/>
            <w:color w:val="00488f"/>
            <w:highlight w:val="white"/>
            <w:u w:val="none"/>
          </w:rPr>
          <w:t xml:space="preserve">info@tv.rosseti-sib.ru</w:t>
        </w:r>
      </w:hyperlink>
      <w:r>
        <w:rPr>
          <w:rFonts w:ascii="Tinos" w:hAnsi="Tinos" w:eastAsia="Tinos" w:cs="Tinos"/>
          <w:bCs/>
        </w:rPr>
        <w:t xml:space="preserve">;</w:t>
      </w:r>
      <w:r>
        <w:rPr>
          <w:rFonts w:ascii="Tinos" w:hAnsi="Tinos" w:cs="Tinos"/>
          <w:bCs/>
        </w:rPr>
      </w:r>
    </w:p>
    <w:p>
      <w:pPr>
        <w:jc w:val="both"/>
        <w:spacing w:after="0" w:line="17" w:lineRule="atLeast"/>
        <w:widowControl w:val="off"/>
        <w:tabs>
          <w:tab w:val="left" w:pos="703" w:leader="none"/>
          <w:tab w:val="left" w:pos="1400" w:leader="none"/>
        </w:tabs>
        <w:rPr>
          <w:rFonts w:ascii="Tinos" w:hAnsi="Tinos" w:cs="Tinos"/>
          <w:bCs/>
        </w:rPr>
      </w:pPr>
      <w:r>
        <w:rPr>
          <w:rFonts w:ascii="Tinos" w:hAnsi="Tinos" w:eastAsia="Tinos" w:cs="Tinos"/>
          <w:bCs/>
        </w:rPr>
        <w:t xml:space="preserve">- </w:t>
      </w:r>
      <w:r>
        <w:rPr>
          <w:rFonts w:ascii="Tinos" w:hAnsi="Tinos" w:eastAsia="Tinos" w:cs="Tinos"/>
          <w:bCs/>
          <w:i/>
        </w:rPr>
        <w:t xml:space="preserve"> </w:t>
      </w:r>
      <w:r>
        <w:rPr>
          <w:rFonts w:ascii="Tinos" w:hAnsi="Tinos" w:cs="Tinos"/>
          <w:bCs/>
        </w:rPr>
      </w:r>
    </w:p>
    <w:p>
      <w:pPr>
        <w:jc w:val="both"/>
        <w:spacing w:after="0" w:line="17" w:lineRule="atLeast"/>
        <w:widowControl w:val="off"/>
        <w:tabs>
          <w:tab w:val="left" w:pos="703" w:leader="none"/>
          <w:tab w:val="left" w:pos="1400" w:leader="none"/>
        </w:tabs>
        <w:rPr>
          <w:rFonts w:ascii="Tinos" w:hAnsi="Tinos" w:cs="Tinos"/>
          <w:bCs/>
        </w:rPr>
      </w:pPr>
      <w:r>
        <w:rPr>
          <w:rFonts w:ascii="Tinos" w:hAnsi="Tinos" w:eastAsia="Tinos" w:cs="Tinos"/>
          <w:bCs/>
        </w:rPr>
        <w:t xml:space="preserve">16.2. Досудебный порядок урегулирования спора является обязательным. Срок ответа на претензию - </w:t>
      </w:r>
      <w:r>
        <w:rPr>
          <w:rFonts w:ascii="Tinos" w:hAnsi="Tinos" w:eastAsia="Tinos" w:cs="Tinos"/>
        </w:rPr>
        <w:t xml:space="preserve">15 (пятнадцать) календарных дней</w:t>
      </w:r>
      <w:r>
        <w:rPr>
          <w:rFonts w:ascii="Tinos" w:hAnsi="Tinos" w:eastAsia="Tinos" w:cs="Tinos"/>
          <w:bCs/>
        </w:rPr>
        <w:t xml:space="preserve"> со дня е</w:t>
      </w:r>
      <w:r>
        <w:rPr>
          <w:rFonts w:ascii="Tinos" w:hAnsi="Tinos" w:eastAsia="Tinos" w:cs="Tinos"/>
          <w:bCs/>
        </w:rPr>
        <w:t xml:space="preserve">е получения. Спор по имущественным требованиям Покупателя может быть передан на разрешение суда по истечении </w:t>
      </w:r>
      <w:r>
        <w:rPr>
          <w:rFonts w:ascii="Tinos" w:hAnsi="Tinos" w:eastAsia="Tinos" w:cs="Tinos"/>
        </w:rPr>
        <w:t xml:space="preserve">15 (пятнадцати)</w:t>
      </w:r>
      <w:r>
        <w:rPr>
          <w:rFonts w:ascii="Tinos" w:hAnsi="Tinos" w:eastAsia="Tinos" w:cs="Tinos"/>
          <w:bCs/>
        </w:rPr>
        <w:t xml:space="preserve"> календарных дней с момента направления Покупателем претензии (требования) Поставщику.</w:t>
      </w:r>
      <w:r>
        <w:rPr>
          <w:rFonts w:ascii="Tinos" w:hAnsi="Tinos" w:cs="Tinos"/>
          <w:bCs/>
        </w:rPr>
      </w:r>
    </w:p>
    <w:p>
      <w:pPr>
        <w:ind w:right="1133"/>
        <w:jc w:val="center"/>
        <w:spacing w:after="0" w:line="17" w:lineRule="atLeast"/>
        <w:widowControl w:val="off"/>
        <w:rPr>
          <w:rFonts w:ascii="Tinos" w:hAnsi="Tinos" w:cs="Tinos"/>
          <w:b/>
          <w:bCs/>
        </w:rPr>
      </w:pPr>
      <w:r>
        <w:rPr>
          <w:rFonts w:ascii="Tinos" w:hAnsi="Tinos" w:eastAsia="Tinos" w:cs="Tinos"/>
          <w:b/>
          <w:bCs/>
        </w:rPr>
        <w:t xml:space="preserve">17. Толкование</w:t>
      </w:r>
      <w:r>
        <w:rPr>
          <w:rFonts w:ascii="Tinos" w:hAnsi="Tinos" w:cs="Tinos"/>
          <w:b/>
          <w:bCs/>
        </w:rPr>
      </w:r>
    </w:p>
    <w:p>
      <w:pPr>
        <w:jc w:val="both"/>
        <w:spacing w:after="0" w:line="17" w:lineRule="atLeast"/>
        <w:widowControl w:val="off"/>
        <w:rPr>
          <w:rFonts w:ascii="Tinos" w:hAnsi="Tinos" w:cs="Tinos"/>
          <w:bCs/>
        </w:rPr>
      </w:pPr>
      <w:r>
        <w:rPr>
          <w:rFonts w:ascii="Tinos" w:hAnsi="Tinos" w:eastAsia="Tinos" w:cs="Tinos"/>
          <w:bCs/>
        </w:rPr>
        <w:t xml:space="preserve">17.1. Все документы, корреспон</w:t>
      </w:r>
      <w:r>
        <w:rPr>
          <w:rFonts w:ascii="Tinos" w:hAnsi="Tinos" w:eastAsia="Tinos" w:cs="Tinos"/>
          <w:bCs/>
        </w:rPr>
        <w:t xml:space="preserve">денция и переписка, а также вся прочая документация, которая должна быть подготовлена и представлена по Договору, ведутся на русском языке, и Договор толкуется в соответствии с нормами этого языка.</w:t>
      </w:r>
      <w:r>
        <w:rPr>
          <w:rFonts w:ascii="Tinos" w:hAnsi="Tinos" w:cs="Tinos"/>
          <w:bCs/>
        </w:rPr>
      </w:r>
    </w:p>
    <w:p>
      <w:pPr>
        <w:jc w:val="both"/>
        <w:spacing w:after="0" w:line="17" w:lineRule="atLeast"/>
        <w:widowControl w:val="off"/>
        <w:rPr>
          <w:rFonts w:ascii="Tinos" w:hAnsi="Tinos" w:cs="Tinos"/>
          <w:bCs/>
        </w:rPr>
      </w:pPr>
      <w:r>
        <w:rPr>
          <w:rFonts w:ascii="Tinos" w:hAnsi="Tinos" w:eastAsia="Tinos" w:cs="Tinos"/>
          <w:bCs/>
        </w:rPr>
        <w:t xml:space="preserve">17.2. Договор в соответствии со ст. 431 ГК РФ</w:t>
      </w:r>
      <w:r>
        <w:rPr>
          <w:rFonts w:ascii="Tinos" w:hAnsi="Tinos" w:eastAsia="Tinos" w:cs="Tinos"/>
          <w:bCs/>
          <w:spacing w:val="-4"/>
        </w:rPr>
        <w:t xml:space="preserve"> подлежит тол</w:t>
      </w:r>
      <w:r>
        <w:rPr>
          <w:rFonts w:ascii="Tinos" w:hAnsi="Tinos" w:eastAsia="Tinos" w:cs="Tinos"/>
          <w:bCs/>
          <w:spacing w:val="-4"/>
        </w:rPr>
        <w:t xml:space="preserve">кованию с учетом буквального значения содержащихся</w:t>
      </w:r>
      <w:r>
        <w:rPr>
          <w:rFonts w:ascii="Tinos" w:hAnsi="Tinos" w:eastAsia="Tinos" w:cs="Tinos"/>
          <w:bCs/>
        </w:rPr>
        <w:t xml:space="preserve"> в нем слов и выражений.</w:t>
      </w:r>
      <w:r>
        <w:rPr>
          <w:rFonts w:ascii="Tinos" w:hAnsi="Tinos" w:cs="Tinos"/>
          <w:bCs/>
        </w:rPr>
      </w:r>
    </w:p>
    <w:p>
      <w:pPr>
        <w:pStyle w:val="1315"/>
        <w:ind w:left="0" w:right="1559"/>
        <w:jc w:val="center"/>
        <w:spacing w:line="17" w:lineRule="atLeast"/>
        <w:tabs>
          <w:tab w:val="left" w:pos="284" w:leader="none"/>
        </w:tabs>
        <w:rPr>
          <w:rFonts w:ascii="Tinos" w:hAnsi="Tinos" w:cs="Tinos"/>
          <w:b/>
          <w:bCs/>
          <w:sz w:val="22"/>
          <w:szCs w:val="22"/>
        </w:rPr>
      </w:pPr>
      <w:r>
        <w:rPr>
          <w:rFonts w:ascii="Tinos" w:hAnsi="Tinos" w:eastAsia="Tinos" w:cs="Tinos"/>
          <w:b/>
          <w:bCs/>
          <w:sz w:val="22"/>
          <w:szCs w:val="22"/>
        </w:rPr>
        <w:t xml:space="preserve">18. Заключительные положения</w:t>
      </w:r>
      <w:r>
        <w:rPr>
          <w:rFonts w:ascii="Tinos" w:hAnsi="Tinos" w:cs="Tinos"/>
          <w:b/>
          <w:bCs/>
          <w:sz w:val="22"/>
          <w:szCs w:val="22"/>
        </w:rPr>
      </w:r>
    </w:p>
    <w:p>
      <w:pPr>
        <w:jc w:val="both"/>
        <w:spacing w:after="0" w:line="17" w:lineRule="atLeast"/>
        <w:widowControl w:val="off"/>
        <w:rPr>
          <w:rFonts w:ascii="Tinos" w:hAnsi="Tinos" w:cs="Tinos"/>
          <w:bCs/>
        </w:rPr>
      </w:pPr>
      <w:r>
        <w:rPr>
          <w:rFonts w:ascii="Tinos" w:hAnsi="Tinos" w:eastAsia="Tinos" w:cs="Tinos"/>
          <w:bCs/>
        </w:rPr>
        <w:t xml:space="preserve">18.1. Договор вступает в силу с даты его подписания и действует до полного исполнения Сторонами всех обязательств по нему (до даты подписания </w:t>
      </w:r>
      <w:r>
        <w:rPr>
          <w:rFonts w:ascii="Tinos" w:hAnsi="Tinos" w:eastAsia="Tinos" w:cs="Tinos"/>
        </w:rPr>
        <w:t xml:space="preserve">Акта</w:t>
      </w:r>
      <w:r>
        <w:rPr>
          <w:rFonts w:ascii="Tinos" w:hAnsi="Tinos" w:eastAsia="Tinos" w:cs="Tinos"/>
          <w:bCs/>
        </w:rPr>
        <w:t xml:space="preserve"> </w:t>
      </w:r>
      <w:r>
        <w:rPr>
          <w:rFonts w:ascii="Tinos" w:hAnsi="Tinos" w:eastAsia="Tinos" w:cs="Tinos"/>
        </w:rPr>
        <w:t xml:space="preserve">сверки</w:t>
      </w:r>
      <w:r>
        <w:rPr>
          <w:rFonts w:ascii="Tinos" w:hAnsi="Tinos" w:eastAsia="Tinos" w:cs="Tinos"/>
          <w:bCs/>
        </w:rPr>
        <w:t xml:space="preserve"> взаимных </w:t>
      </w:r>
      <w:r>
        <w:rPr>
          <w:rFonts w:ascii="Tinos" w:hAnsi="Tinos" w:eastAsia="Tinos" w:cs="Tinos"/>
        </w:rPr>
        <w:t xml:space="preserve">расчетов</w:t>
      </w:r>
      <w:r>
        <w:rPr>
          <w:rFonts w:ascii="Tinos" w:hAnsi="Tinos" w:eastAsia="Tinos" w:cs="Tinos"/>
          <w:bCs/>
        </w:rPr>
        <w:t xml:space="preserve"> между организациями, оформленного после окончания действия финансового обеспечение исполнения гарантийных</w:t>
      </w:r>
      <w:r>
        <w:rPr>
          <w:rFonts w:ascii="Tinos" w:hAnsi="Tinos" w:eastAsia="Tinos" w:cs="Tinos"/>
        </w:rPr>
        <w:t xml:space="preserve"> обязательств по Договору)</w:t>
      </w:r>
      <w:r>
        <w:rPr>
          <w:rFonts w:ascii="Tinos" w:hAnsi="Tinos" w:eastAsia="Tinos" w:cs="Tinos"/>
          <w:bCs/>
        </w:rPr>
        <w:t xml:space="preserve">. </w:t>
      </w:r>
      <w:r>
        <w:rPr>
          <w:rFonts w:ascii="Tinos" w:hAnsi="Tinos" w:cs="Tinos"/>
          <w:bCs/>
        </w:rPr>
      </w:r>
    </w:p>
    <w:p>
      <w:pPr>
        <w:jc w:val="both"/>
        <w:spacing w:after="0" w:line="17" w:lineRule="atLeast"/>
        <w:widowControl w:val="off"/>
        <w:rPr>
          <w:rFonts w:ascii="Tinos" w:hAnsi="Tinos" w:cs="Tinos"/>
          <w:bCs/>
        </w:rPr>
      </w:pPr>
      <w:r>
        <w:rPr>
          <w:rFonts w:ascii="Tinos" w:hAnsi="Tinos" w:eastAsia="Tinos" w:cs="Tinos"/>
          <w:bCs/>
        </w:rPr>
        <w:t xml:space="preserve">18.2. Договор со всеми его дополнительными соглашениями и приложениями представляет собой единое </w:t>
      </w:r>
      <w:r>
        <w:rPr>
          <w:rFonts w:ascii="Tinos" w:hAnsi="Tinos" w:eastAsia="Tinos" w:cs="Tinos"/>
          <w:bCs/>
        </w:rPr>
        <w:t xml:space="preserve">соглашение между Поставщиком и Покупателем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r>
        <w:rPr>
          <w:rFonts w:ascii="Tinos" w:hAnsi="Tinos" w:cs="Tinos"/>
          <w:bCs/>
        </w:rPr>
      </w:r>
    </w:p>
    <w:p>
      <w:pPr>
        <w:jc w:val="both"/>
        <w:spacing w:after="0" w:line="17" w:lineRule="atLeast"/>
        <w:widowControl w:val="off"/>
        <w:rPr>
          <w:rFonts w:ascii="Tinos" w:hAnsi="Tinos" w:cs="Tinos"/>
          <w:bCs/>
        </w:rPr>
      </w:pPr>
      <w:r>
        <w:rPr>
          <w:rFonts w:ascii="Tinos" w:hAnsi="Tinos" w:eastAsia="Tinos" w:cs="Tinos"/>
          <w:bCs/>
        </w:rPr>
        <w:t xml:space="preserve">18.3. Ответственный представ</w:t>
      </w:r>
      <w:r>
        <w:rPr>
          <w:rFonts w:ascii="Tinos" w:hAnsi="Tinos" w:eastAsia="Tinos" w:cs="Tinos"/>
          <w:bCs/>
        </w:rPr>
        <w:t xml:space="preserve">итель за согласование всех вопросов по настоящему Договору:</w:t>
      </w:r>
      <w:r>
        <w:rPr>
          <w:rFonts w:ascii="Tinos" w:hAnsi="Tinos" w:cs="Tinos"/>
          <w:bCs/>
        </w:rPr>
      </w:r>
    </w:p>
    <w:p>
      <w:pPr>
        <w:jc w:val="both"/>
        <w:spacing w:after="0" w:line="17" w:lineRule="atLeast"/>
        <w:widowControl w:val="off"/>
        <w:rPr>
          <w:rFonts w:ascii="Tinos" w:hAnsi="Tinos" w:cs="Tinos"/>
          <w:bCs/>
        </w:rPr>
      </w:pPr>
      <w:r>
        <w:rPr>
          <w:rFonts w:ascii="Tinos" w:hAnsi="Tinos" w:eastAsia="Tinos" w:cs="Tinos"/>
          <w:bCs/>
        </w:rPr>
        <w:t xml:space="preserve">от Поставщика - ______, тел. :_______</w:t>
      </w:r>
      <w:r>
        <w:rPr>
          <w:rFonts w:ascii="Tinos" w:hAnsi="Tinos" w:eastAsia="Tinos" w:cs="Tinos"/>
        </w:rPr>
        <w:t xml:space="preserve"> </w:t>
      </w:r>
      <w:r>
        <w:rPr>
          <w:rFonts w:ascii="Tinos" w:hAnsi="Tinos" w:eastAsia="Tinos" w:cs="Tinos"/>
          <w:bCs/>
        </w:rPr>
        <w:t xml:space="preserve">e-mail:______;</w:t>
      </w:r>
      <w:r>
        <w:rPr>
          <w:rFonts w:ascii="Tinos" w:hAnsi="Tinos" w:cs="Tinos"/>
          <w:bCs/>
        </w:rPr>
      </w:r>
    </w:p>
    <w:p>
      <w:pPr>
        <w:jc w:val="both"/>
        <w:spacing w:after="0" w:line="17" w:lineRule="atLeast"/>
        <w:widowControl w:val="off"/>
        <w:rPr>
          <w:rFonts w:ascii="Tinos" w:hAnsi="Tinos" w:cs="Tinos"/>
          <w:bCs/>
        </w:rPr>
      </w:pPr>
      <w:r>
        <w:rPr>
          <w:rFonts w:ascii="Tinos" w:hAnsi="Tinos" w:eastAsia="Tinos" w:cs="Tinos"/>
          <w:bCs/>
        </w:rPr>
        <w:t xml:space="preserve">от Покупателя -– Батурин Николай Владимирович, тел.: +7 (394-22) 9-86-54, </w:t>
      </w:r>
      <w:r>
        <w:rPr>
          <w:rFonts w:ascii="Tinos" w:hAnsi="Tinos" w:cs="Tinos"/>
          <w:bCs/>
        </w:rPr>
      </w:r>
    </w:p>
    <w:p>
      <w:pPr>
        <w:jc w:val="both"/>
        <w:spacing w:after="0" w:line="17" w:lineRule="atLeast"/>
        <w:widowControl w:val="off"/>
        <w:rPr>
          <w:rFonts w:ascii="Tinos" w:hAnsi="Tinos" w:cs="Tinos"/>
          <w:bCs/>
        </w:rPr>
      </w:pPr>
      <w:r>
        <w:rPr>
          <w:rFonts w:ascii="Tinos" w:hAnsi="Tinos" w:eastAsia="Tinos" w:cs="Tinos"/>
          <w:bCs/>
          <w:lang w:val="en-US"/>
        </w:rPr>
        <w:t xml:space="preserve">e-mail: </w:t>
      </w:r>
      <w:hyperlink r:id="rId19" w:tooltip="mailto:BaturinNV@tuva.mrsk-sib.ru" w:history="1">
        <w:r>
          <w:rPr>
            <w:rFonts w:ascii="Tinos" w:hAnsi="Tinos" w:eastAsia="Tinos" w:cs="Tinos"/>
            <w:color w:val="0000ff"/>
            <w:u w:val="single"/>
            <w:lang w:val="en-US" w:eastAsia="ru-RU"/>
          </w:rPr>
          <w:t xml:space="preserve">BaturinNV@tv.rosseti-sib.ru</w:t>
        </w:r>
      </w:hyperlink>
      <w:r>
        <w:rPr>
          <w:rFonts w:ascii="Tinos" w:hAnsi="Tinos" w:eastAsia="Tinos" w:cs="Tinos"/>
          <w:color w:val="0000ff"/>
          <w:u w:val="single"/>
          <w:lang w:val="en-US" w:eastAsia="ru-RU"/>
        </w:rPr>
        <w:t xml:space="preserve">;  </w:t>
      </w:r>
      <w:r>
        <w:rPr>
          <w:rFonts w:ascii="Tinos" w:hAnsi="Tinos" w:cs="Tinos"/>
          <w:bCs/>
        </w:rPr>
      </w:r>
    </w:p>
    <w:p>
      <w:pPr>
        <w:jc w:val="both"/>
        <w:spacing w:after="0" w:line="17" w:lineRule="atLeast"/>
        <w:widowControl w:val="off"/>
        <w:rPr>
          <w:rFonts w:ascii="Tinos" w:hAnsi="Tinos" w:cs="Tinos"/>
          <w:bCs/>
        </w:rPr>
      </w:pPr>
      <w:r>
        <w:rPr>
          <w:rFonts w:ascii="Tinos" w:hAnsi="Tinos" w:eastAsia="Tinos" w:cs="Tinos"/>
          <w:bCs/>
        </w:rPr>
        <w:t xml:space="preserve">Кулар Аржаан Юрьевич, тел.: +7 (39422) 9-85-29, </w:t>
      </w:r>
      <w:r>
        <w:rPr>
          <w:rFonts w:ascii="Tinos" w:hAnsi="Tinos" w:cs="Tinos"/>
          <w:bCs/>
        </w:rPr>
      </w:r>
    </w:p>
    <w:p>
      <w:pPr>
        <w:jc w:val="both"/>
        <w:spacing w:after="0" w:line="17" w:lineRule="atLeast"/>
        <w:widowControl w:val="off"/>
        <w:rPr>
          <w:rFonts w:ascii="Tinos" w:hAnsi="Tinos" w:cs="Tinos"/>
          <w:bCs/>
        </w:rPr>
      </w:pPr>
      <w:r>
        <w:rPr>
          <w:rFonts w:ascii="Tinos" w:hAnsi="Tinos" w:eastAsia="Tinos" w:cs="Tinos"/>
          <w:bCs/>
          <w:lang w:val="en-US"/>
        </w:rPr>
        <w:t xml:space="preserve">e-mail: </w:t>
      </w:r>
      <w:hyperlink r:id="rId20" w:tooltip="mailto:KularAY@tv.rosseti-sib.ru" w:history="1">
        <w:r>
          <w:rPr>
            <w:rFonts w:ascii="Tinos" w:hAnsi="Tinos" w:eastAsia="Tinos" w:cs="Tinos"/>
            <w:color w:val="0000ff"/>
            <w:u w:val="single"/>
            <w:lang w:val="en-US" w:eastAsia="ru-RU"/>
          </w:rPr>
          <w:t xml:space="preserve">KularAY@tv.rosseti-sib.ru</w:t>
        </w:r>
      </w:hyperlink>
      <w:r>
        <w:rPr>
          <w:rFonts w:ascii="Tinos" w:hAnsi="Tinos" w:eastAsia="Tinos" w:cs="Tinos"/>
          <w:bCs/>
          <w:lang w:val="en-US"/>
        </w:rPr>
        <w:t xml:space="preserve">. </w:t>
      </w:r>
      <w:r>
        <w:rPr>
          <w:rFonts w:ascii="Tinos" w:hAnsi="Tinos" w:cs="Tinos"/>
          <w:bCs/>
        </w:rPr>
      </w:r>
    </w:p>
    <w:p>
      <w:pPr>
        <w:jc w:val="both"/>
        <w:spacing w:after="0" w:line="17" w:lineRule="atLeast"/>
        <w:widowControl w:val="off"/>
        <w:rPr>
          <w:rFonts w:ascii="Tinos" w:hAnsi="Tinos" w:cs="Tinos"/>
          <w:bCs/>
        </w:rPr>
      </w:pPr>
      <w:r>
        <w:rPr>
          <w:rFonts w:ascii="Tinos" w:hAnsi="Tinos" w:eastAsia="Tinos" w:cs="Tinos"/>
          <w:bCs/>
        </w:rPr>
        <w:t xml:space="preserve">Часы работы: Пн. – Пт. с 8:00-17:00.</w:t>
      </w:r>
      <w:r>
        <w:rPr>
          <w:rFonts w:ascii="Tinos" w:hAnsi="Tinos" w:cs="Tinos"/>
          <w:bCs/>
        </w:rPr>
      </w:r>
    </w:p>
    <w:p>
      <w:pPr>
        <w:jc w:val="both"/>
        <w:spacing w:after="0" w:line="17" w:lineRule="atLeast"/>
        <w:widowControl w:val="off"/>
        <w:rPr>
          <w:rFonts w:ascii="Tinos" w:hAnsi="Tinos" w:cs="Tinos"/>
          <w:bCs/>
        </w:rPr>
      </w:pPr>
      <w:r>
        <w:rPr>
          <w:rFonts w:ascii="Tinos" w:hAnsi="Tinos" w:eastAsia="Tinos" w:cs="Tinos"/>
          <w:bCs/>
        </w:rPr>
        <w:t xml:space="preserve">18.4. Любые изменения, дополнения и приложения к Договору действительны при условии, если они совершены в письменной форме и подписаны уполномоченными представителями обеих Сторон.</w:t>
      </w:r>
      <w:r>
        <w:rPr>
          <w:rFonts w:ascii="Tinos" w:hAnsi="Tinos" w:cs="Tinos"/>
          <w:bCs/>
        </w:rPr>
      </w:r>
    </w:p>
    <w:p>
      <w:pPr>
        <w:jc w:val="both"/>
        <w:spacing w:after="0" w:line="17" w:lineRule="atLeast"/>
        <w:widowControl w:val="off"/>
        <w:rPr>
          <w:rFonts w:ascii="Tinos" w:hAnsi="Tinos" w:cs="Tinos"/>
          <w:bCs/>
        </w:rPr>
      </w:pPr>
      <w:r>
        <w:rPr>
          <w:rFonts w:ascii="Tinos" w:hAnsi="Tinos" w:eastAsia="Tinos" w:cs="Tinos"/>
          <w:bCs/>
        </w:rPr>
        <w:t xml:space="preserve">18.5</w:t>
      </w:r>
      <w:r>
        <w:rPr>
          <w:rFonts w:ascii="Tinos" w:hAnsi="Tinos" w:eastAsia="Tinos" w:cs="Tinos"/>
          <w:bCs/>
        </w:rPr>
        <w:t xml:space="preserve">. Стороны обязаны письменно уведомлять друг друга об изменении реквизитов, места нахождения, почтового адреса, номеров телефонов в течение </w:t>
      </w:r>
      <w:r>
        <w:rPr>
          <w:rFonts w:ascii="Tinos" w:hAnsi="Tinos" w:eastAsia="Tinos" w:cs="Tinos"/>
        </w:rPr>
        <w:t xml:space="preserve">3 (трех)</w:t>
      </w:r>
      <w:r>
        <w:rPr>
          <w:rFonts w:ascii="Tinos" w:hAnsi="Tinos" w:eastAsia="Tinos" w:cs="Tinos"/>
          <w:bCs/>
        </w:rPr>
        <w:t xml:space="preserve"> рабочих дней с даты таких изменений.</w:t>
      </w:r>
      <w:r>
        <w:rPr>
          <w:rFonts w:ascii="Tinos" w:hAnsi="Tinos" w:cs="Tinos"/>
          <w:bCs/>
        </w:rPr>
      </w:r>
    </w:p>
    <w:p>
      <w:pPr>
        <w:jc w:val="both"/>
        <w:spacing w:after="0" w:line="17" w:lineRule="atLeast"/>
        <w:widowControl w:val="off"/>
        <w:rPr>
          <w:rFonts w:ascii="Tinos" w:hAnsi="Tinos" w:cs="Tinos"/>
          <w:bCs/>
        </w:rPr>
      </w:pPr>
      <w:r>
        <w:rPr>
          <w:rFonts w:ascii="Tinos" w:hAnsi="Tinos" w:eastAsia="Tinos" w:cs="Tinos"/>
          <w:bCs/>
        </w:rPr>
        <w:t xml:space="preserve">18.6. При заключении, исполнении и расторжении Договора Стороны могут и</w:t>
      </w:r>
      <w:r>
        <w:rPr>
          <w:rFonts w:ascii="Tinos" w:hAnsi="Tinos" w:eastAsia="Tinos" w:cs="Tinos"/>
          <w:bCs/>
        </w:rPr>
        <w:t xml:space="preserve">спользовать документооборот с применением электронной подписи в соответствии с законодательством Российской Федерации.</w:t>
      </w:r>
      <w:r>
        <w:rPr>
          <w:rFonts w:ascii="Tinos" w:hAnsi="Tinos" w:cs="Tinos"/>
          <w:bCs/>
        </w:rPr>
      </w:r>
    </w:p>
    <w:p>
      <w:pPr>
        <w:jc w:val="both"/>
        <w:spacing w:after="0" w:line="17" w:lineRule="atLeast"/>
        <w:widowControl w:val="off"/>
        <w:rPr>
          <w:rFonts w:ascii="Tinos" w:hAnsi="Tinos" w:cs="Tinos"/>
          <w:bCs/>
        </w:rPr>
      </w:pPr>
      <w:r>
        <w:rPr>
          <w:rFonts w:ascii="Tinos" w:hAnsi="Tinos" w:eastAsia="Tinos" w:cs="Tinos"/>
          <w:bCs/>
        </w:rPr>
        <w:t xml:space="preserve">18.7. Вопросы, не урегулированные Договором, регламентируются нормами законодательства Российской Федерации.</w:t>
      </w:r>
      <w:r>
        <w:rPr>
          <w:rFonts w:ascii="Tinos" w:hAnsi="Tinos" w:cs="Tinos"/>
          <w:bCs/>
        </w:rPr>
      </w:r>
    </w:p>
    <w:p>
      <w:pPr>
        <w:jc w:val="both"/>
        <w:spacing w:after="0" w:line="17" w:lineRule="atLeast"/>
        <w:widowControl w:val="off"/>
        <w:rPr>
          <w:rFonts w:ascii="Tinos" w:hAnsi="Tinos" w:cs="Tinos"/>
          <w:bCs/>
        </w:rPr>
      </w:pPr>
      <w:r>
        <w:rPr>
          <w:rFonts w:ascii="Tinos" w:hAnsi="Tinos" w:eastAsia="Tinos" w:cs="Tinos"/>
          <w:bCs/>
        </w:rPr>
        <w:t xml:space="preserve">18.8. Все указанные в Догово</w:t>
      </w:r>
      <w:r>
        <w:rPr>
          <w:rFonts w:ascii="Tinos" w:hAnsi="Tinos" w:eastAsia="Tinos" w:cs="Tinos"/>
          <w:bCs/>
        </w:rPr>
        <w:t xml:space="preserve">ре приложения являются его неотъемлемой его частью.</w:t>
      </w:r>
      <w:r>
        <w:rPr>
          <w:rFonts w:ascii="Tinos" w:hAnsi="Tinos" w:cs="Tinos"/>
          <w:bCs/>
        </w:rPr>
      </w:r>
    </w:p>
    <w:p>
      <w:pPr>
        <w:contextualSpacing/>
        <w:jc w:val="both"/>
        <w:spacing w:after="0" w:line="17" w:lineRule="atLeast"/>
        <w:widowControl w:val="off"/>
        <w:tabs>
          <w:tab w:val="left" w:pos="1134" w:leader="none"/>
        </w:tabs>
        <w:rPr>
          <w:rFonts w:ascii="Tinos" w:hAnsi="Tinos" w:cs="Tinos"/>
        </w:rPr>
      </w:pPr>
      <w:r>
        <w:rPr>
          <w:rFonts w:ascii="Tinos" w:hAnsi="Tinos" w:eastAsia="Tinos" w:cs="Tinos"/>
        </w:rPr>
        <w:t xml:space="preserve">18.9. Договор составлен на русском языке в 2 экземплярах, имеющих равную юридическую силу, по одному для каждой из Сторон.</w:t>
      </w:r>
      <w:r>
        <w:rPr>
          <w:rFonts w:ascii="Tinos" w:hAnsi="Tinos" w:cs="Tinos"/>
        </w:rPr>
      </w:r>
    </w:p>
    <w:p>
      <w:pPr>
        <w:ind w:right="-1"/>
        <w:jc w:val="center"/>
        <w:spacing w:after="0" w:line="17" w:lineRule="atLeast"/>
        <w:widowControl w:val="off"/>
        <w:tabs>
          <w:tab w:val="left" w:pos="284" w:leader="none"/>
        </w:tabs>
        <w:rPr>
          <w:rFonts w:ascii="Tinos" w:hAnsi="Tinos" w:cs="Tinos"/>
          <w:b/>
          <w:bCs/>
        </w:rPr>
      </w:pPr>
      <w:r>
        <w:rPr>
          <w:rFonts w:ascii="Tinos" w:hAnsi="Tinos" w:eastAsia="Tinos" w:cs="Tinos"/>
          <w:b/>
          <w:bCs/>
        </w:rPr>
        <w:t xml:space="preserve">19. Перечень документов, прилагаемых к настоящему Договору</w:t>
      </w:r>
      <w:r>
        <w:rPr>
          <w:rFonts w:ascii="Tinos" w:hAnsi="Tinos" w:cs="Tinos"/>
          <w:b/>
          <w:bCs/>
        </w:rPr>
      </w:r>
    </w:p>
    <w:p>
      <w:pPr>
        <w:jc w:val="both"/>
        <w:spacing w:after="0" w:line="17" w:lineRule="atLeast"/>
        <w:widowControl w:val="off"/>
        <w:rPr>
          <w:rFonts w:ascii="Tinos" w:hAnsi="Tinos" w:cs="Tinos"/>
        </w:rPr>
      </w:pPr>
      <w:r>
        <w:rPr>
          <w:rFonts w:ascii="Tinos" w:hAnsi="Tinos" w:eastAsia="Tinos" w:cs="Tinos"/>
        </w:rPr>
        <w:t xml:space="preserve">19.1. Приложение № 1 «</w:t>
      </w:r>
      <w:r>
        <w:rPr>
          <w:rFonts w:ascii="Tinos" w:hAnsi="Tinos" w:eastAsia="Tinos" w:cs="Tinos"/>
        </w:rPr>
        <w:t xml:space="preserve">Технические характеристики, требования к комплектации», «Общие требования».</w:t>
      </w:r>
      <w:r>
        <w:rPr>
          <w:rFonts w:ascii="Tinos" w:hAnsi="Tinos" w:cs="Tinos"/>
        </w:rPr>
      </w:r>
    </w:p>
    <w:p>
      <w:pPr>
        <w:jc w:val="both"/>
        <w:spacing w:after="0" w:line="17" w:lineRule="atLeast"/>
        <w:widowControl w:val="off"/>
        <w:rPr>
          <w:rFonts w:ascii="Tinos" w:hAnsi="Tinos" w:cs="Tinos"/>
        </w:rPr>
      </w:pPr>
      <w:r>
        <w:rPr>
          <w:rFonts w:ascii="Tinos" w:hAnsi="Tinos" w:eastAsia="Tinos" w:cs="Tinos"/>
        </w:rPr>
        <w:t xml:space="preserve">19.2.  Приложение № 2 «Таблица стоимости поставки товара».</w:t>
      </w:r>
      <w:r>
        <w:rPr>
          <w:rFonts w:ascii="Tinos" w:hAnsi="Tinos" w:cs="Tinos"/>
        </w:rPr>
      </w:r>
    </w:p>
    <w:p>
      <w:pPr>
        <w:jc w:val="both"/>
        <w:spacing w:after="0" w:line="17" w:lineRule="atLeast"/>
        <w:widowControl w:val="off"/>
        <w:rPr>
          <w:rFonts w:ascii="Tinos" w:hAnsi="Tinos" w:cs="Tinos"/>
        </w:rPr>
      </w:pPr>
      <w:r>
        <w:rPr>
          <w:rFonts w:ascii="Tinos" w:hAnsi="Tinos" w:eastAsia="Tinos" w:cs="Tinos"/>
          <w:bCs/>
        </w:rPr>
        <w:t xml:space="preserve">19.3. Приложение № 3 «</w:t>
      </w:r>
      <w:r>
        <w:rPr>
          <w:rFonts w:ascii="Tinos" w:hAnsi="Tinos" w:eastAsia="Tinos" w:cs="Tinos"/>
        </w:rPr>
        <w:t xml:space="preserve">Информации о собственниках контрагента, включая конечных бенефициаров (форма)».</w:t>
      </w:r>
      <w:r>
        <w:rPr>
          <w:rFonts w:ascii="Tinos" w:hAnsi="Tinos" w:cs="Tinos"/>
        </w:rPr>
      </w:r>
    </w:p>
    <w:p>
      <w:pPr>
        <w:jc w:val="both"/>
        <w:spacing w:after="0" w:line="17" w:lineRule="atLeast"/>
        <w:widowControl w:val="off"/>
        <w:rPr>
          <w:rFonts w:ascii="Tinos" w:hAnsi="Tinos" w:cs="Tinos"/>
        </w:rPr>
      </w:pPr>
      <w:r>
        <w:rPr>
          <w:rFonts w:ascii="Tinos" w:hAnsi="Tinos" w:eastAsia="Tinos" w:cs="Tinos"/>
        </w:rPr>
        <w:t xml:space="preserve">19.4. Приложение № </w:t>
      </w:r>
      <w:r>
        <w:rPr>
          <w:rFonts w:ascii="Tinos" w:hAnsi="Tinos" w:eastAsia="Tinos" w:cs="Tinos"/>
        </w:rPr>
        <w:t xml:space="preserve">4 «Согласие на обработку персональных данных (форма)».</w:t>
      </w:r>
      <w:r>
        <w:rPr>
          <w:rFonts w:ascii="Tinos" w:hAnsi="Tinos" w:cs="Tinos"/>
        </w:rPr>
      </w:r>
    </w:p>
    <w:p>
      <w:pPr>
        <w:jc w:val="both"/>
        <w:spacing w:after="0" w:line="17" w:lineRule="atLeast"/>
        <w:widowControl w:val="off"/>
        <w:rPr>
          <w:rFonts w:ascii="Tinos" w:hAnsi="Tinos" w:cs="Tinos"/>
        </w:rPr>
      </w:pPr>
      <w:r>
        <w:rPr>
          <w:rFonts w:ascii="Tinos" w:hAnsi="Tinos" w:eastAsia="Tinos" w:cs="Tinos"/>
        </w:rPr>
        <w:t xml:space="preserve">19.5. Приложение № 5 «</w:t>
      </w:r>
      <w:r>
        <w:rPr>
          <w:rFonts w:ascii="Tinos" w:hAnsi="Tinos" w:eastAsia="Tinos" w:cs="Tinos"/>
          <w:bCs/>
        </w:rPr>
        <w:t xml:space="preserve">Форма акта приема-передачи транспортного средства»</w:t>
      </w:r>
      <w:r>
        <w:rPr>
          <w:rFonts w:ascii="Tinos" w:hAnsi="Tinos" w:cs="Tinos"/>
        </w:rPr>
      </w:r>
    </w:p>
    <w:p>
      <w:pPr>
        <w:jc w:val="both"/>
        <w:spacing w:after="0" w:line="17" w:lineRule="atLeast"/>
        <w:widowControl w:val="off"/>
        <w:rPr>
          <w:rFonts w:ascii="Tinos" w:hAnsi="Tinos" w:cs="Tinos"/>
        </w:rPr>
      </w:pPr>
      <w:r>
        <w:rPr>
          <w:rFonts w:ascii="Tinos" w:hAnsi="Tinos" w:eastAsia="Tinos" w:cs="Tinos"/>
        </w:rPr>
        <w:t xml:space="preserve">19.6. Приложение № 6 «</w:t>
      </w:r>
      <w:r>
        <w:rPr>
          <w:rFonts w:ascii="Tinos" w:hAnsi="Tinos" w:eastAsia="Tinos" w:cs="Tinos"/>
          <w:bCs/>
        </w:rPr>
        <w:t xml:space="preserve">Форма документа о приемке товара»</w:t>
      </w:r>
      <w:r>
        <w:rPr>
          <w:rFonts w:ascii="Tinos" w:hAnsi="Tinos" w:cs="Tinos"/>
        </w:rPr>
      </w:r>
    </w:p>
    <w:p>
      <w:pPr>
        <w:jc w:val="both"/>
        <w:spacing w:after="0" w:line="17" w:lineRule="atLeast"/>
        <w:widowControl w:val="off"/>
        <w:rPr>
          <w:rFonts w:ascii="Tinos" w:hAnsi="Tinos" w:eastAsia="Tinos" w:cs="Tinos"/>
        </w:rPr>
      </w:pPr>
      <w:r>
        <w:rPr>
          <w:rFonts w:ascii="Tinos" w:hAnsi="Tinos" w:eastAsia="Tinos" w:cs="Tinos"/>
        </w:rPr>
        <w:t xml:space="preserve">19.7. Приложение № 7 </w:t>
      </w:r>
      <w:r>
        <w:rPr>
          <w:rFonts w:ascii="Tinos" w:hAnsi="Tinos" w:eastAsia="Tinos" w:cs="Tinos"/>
          <w:bCs/>
        </w:rPr>
        <w:t xml:space="preserve">«Обеспечение исполнения обязательств»</w:t>
      </w:r>
      <w:r>
        <w:rPr>
          <w:rFonts w:ascii="Tinos" w:hAnsi="Tinos" w:eastAsia="Tinos" w:cs="Tinos"/>
        </w:rPr>
      </w:r>
    </w:p>
    <w:p>
      <w:pPr>
        <w:jc w:val="both"/>
        <w:spacing w:after="0" w:line="17" w:lineRule="atLeast"/>
        <w:widowControl w:val="off"/>
        <w:rPr>
          <w:rFonts w:ascii="Tinos" w:hAnsi="Tinos" w:cs="Tinos"/>
        </w:rPr>
      </w:pPr>
      <w:r>
        <w:rPr>
          <w:rFonts w:ascii="Tinos" w:hAnsi="Tinos" w:cs="Tinos"/>
        </w:rPr>
      </w:r>
      <w:r>
        <w:rPr>
          <w:rFonts w:ascii="Tinos" w:hAnsi="Tinos" w:cs="Tinos"/>
        </w:rPr>
      </w:r>
    </w:p>
    <w:p>
      <w:pPr>
        <w:jc w:val="center"/>
        <w:spacing w:after="0" w:line="17" w:lineRule="atLeast"/>
        <w:widowControl w:val="off"/>
        <w:rPr>
          <w:rFonts w:ascii="Tinos" w:hAnsi="Tinos" w:cs="Tinos"/>
          <w:b/>
          <w:bCs/>
        </w:rPr>
      </w:pPr>
      <w:r>
        <w:rPr>
          <w:rFonts w:ascii="Tinos" w:hAnsi="Tinos" w:eastAsia="Tinos" w:cs="Tinos"/>
          <w:b/>
          <w:bCs/>
        </w:rPr>
        <w:t xml:space="preserve">20. Адреса и реквизиты Сторон</w:t>
      </w:r>
      <w:r>
        <w:rPr>
          <w:rFonts w:ascii="Tinos" w:hAnsi="Tinos" w:cs="Tinos"/>
          <w:b/>
          <w:bCs/>
        </w:rPr>
      </w:r>
    </w:p>
    <w:tbl>
      <w:tblPr>
        <w:tblW w:w="9921" w:type="dxa"/>
        <w:tblLayout w:type="fixed"/>
        <w:tblLook w:val="01E0" w:firstRow="1" w:lastRow="1" w:firstColumn="1" w:lastColumn="1" w:noHBand="0" w:noVBand="0"/>
      </w:tblPr>
      <w:tblGrid>
        <w:gridCol w:w="4644"/>
        <w:gridCol w:w="5277"/>
      </w:tblGrid>
      <w:tr>
        <w:tblPrEx/>
        <w:trPr>
          <w:trHeight w:val="288"/>
        </w:trPr>
        <w:tc>
          <w:tcPr>
            <w:tcW w:w="4644" w:type="dxa"/>
            <w:vAlign w:val="center"/>
            <w:textDirection w:val="lrTb"/>
            <w:noWrap w:val="false"/>
          </w:tcPr>
          <w:p>
            <w:pPr>
              <w:spacing w:after="0" w:line="17" w:lineRule="atLeast"/>
              <w:shd w:val="clear" w:color="auto" w:fill="ffffff"/>
              <w:widowControl w:val="off"/>
              <w:rPr>
                <w:rFonts w:ascii="Tinos" w:hAnsi="Tinos" w:cs="Tinos"/>
                <w:b/>
                <w:bCs/>
              </w:rPr>
            </w:pPr>
            <w:r>
              <w:rPr>
                <w:rFonts w:ascii="Tinos" w:hAnsi="Tinos" w:cs="Tinos"/>
                <w:b/>
                <w:bCs/>
              </w:rPr>
            </w:r>
            <w:r>
              <w:rPr>
                <w:rFonts w:ascii="Tinos" w:hAnsi="Tinos" w:cs="Tinos"/>
                <w:b/>
                <w:bCs/>
              </w:rPr>
            </w:r>
          </w:p>
          <w:p>
            <w:pPr>
              <w:spacing w:after="0" w:line="17" w:lineRule="atLeast"/>
              <w:shd w:val="clear" w:color="auto" w:fill="ffffff"/>
              <w:widowControl w:val="off"/>
              <w:rPr>
                <w:rFonts w:ascii="Tinos" w:hAnsi="Tinos" w:cs="Tinos"/>
                <w:b/>
                <w:bCs/>
              </w:rPr>
            </w:pPr>
            <w:r>
              <w:rPr>
                <w:rFonts w:ascii="Tinos" w:hAnsi="Tinos" w:eastAsia="Tinos" w:cs="Tinos"/>
                <w:b/>
                <w:bCs/>
              </w:rPr>
              <w:t xml:space="preserve">Покупатель:</w:t>
            </w:r>
            <w:r>
              <w:rPr>
                <w:rFonts w:ascii="Tinos" w:hAnsi="Tinos" w:cs="Tinos"/>
                <w:b/>
                <w:bCs/>
              </w:rPr>
            </w:r>
          </w:p>
          <w:p>
            <w:pPr>
              <w:spacing w:after="0" w:line="17" w:lineRule="atLeast"/>
              <w:shd w:val="clear" w:color="auto" w:fill="ffffff"/>
              <w:widowControl w:val="off"/>
              <w:rPr>
                <w:rFonts w:ascii="Tinos" w:hAnsi="Tinos" w:cs="Tinos"/>
                <w:bCs/>
              </w:rPr>
            </w:pPr>
            <w:r>
              <w:rPr>
                <w:rFonts w:ascii="Tinos" w:hAnsi="Tinos" w:eastAsia="Tinos" w:cs="Tinos"/>
                <w:bCs/>
              </w:rPr>
              <w:t xml:space="preserve">АО «Россети Сибирь Тываэнерго»</w:t>
            </w:r>
            <w:r>
              <w:rPr>
                <w:rFonts w:ascii="Tinos" w:hAnsi="Tinos" w:cs="Tinos"/>
                <w:bCs/>
              </w:rPr>
            </w:r>
          </w:p>
          <w:p>
            <w:pPr>
              <w:spacing w:after="0" w:line="17" w:lineRule="atLeast"/>
              <w:shd w:val="clear" w:color="auto" w:fill="ffffff"/>
              <w:rPr>
                <w:rFonts w:ascii="Tinos" w:hAnsi="Tinos" w:cs="Tinos"/>
                <w:bCs/>
              </w:rPr>
            </w:pPr>
            <w:r>
              <w:rPr>
                <w:rFonts w:ascii="Tinos" w:hAnsi="Tinos" w:eastAsia="Tinos" w:cs="Tinos"/>
                <w:bCs/>
              </w:rPr>
              <w:t xml:space="preserve">Адрес юридический: 667001, Республика </w:t>
            </w:r>
            <w:r>
              <w:rPr>
                <w:rFonts w:ascii="Tinos" w:hAnsi="Tinos" w:cs="Tinos"/>
                <w:bCs/>
              </w:rPr>
            </w:r>
          </w:p>
          <w:p>
            <w:pPr>
              <w:spacing w:after="0" w:line="17" w:lineRule="atLeast"/>
              <w:shd w:val="clear" w:color="auto" w:fill="ffffff"/>
              <w:rPr>
                <w:rFonts w:ascii="Tinos" w:hAnsi="Tinos" w:cs="Tinos"/>
                <w:bCs/>
              </w:rPr>
            </w:pPr>
            <w:r>
              <w:rPr>
                <w:rFonts w:ascii="Tinos" w:hAnsi="Tinos" w:eastAsia="Tinos" w:cs="Tinos"/>
                <w:bCs/>
              </w:rPr>
              <w:t xml:space="preserve">Тыва, г. Кызыл, ул. Рабочая, 4 </w:t>
            </w:r>
            <w:r>
              <w:rPr>
                <w:rFonts w:ascii="Tinos" w:hAnsi="Tinos" w:cs="Tinos"/>
                <w:bCs/>
              </w:rPr>
            </w:r>
          </w:p>
          <w:p>
            <w:pPr>
              <w:spacing w:after="0" w:line="17" w:lineRule="atLeast"/>
              <w:shd w:val="clear" w:color="auto" w:fill="ffffff"/>
              <w:rPr>
                <w:rFonts w:ascii="Tinos" w:hAnsi="Tinos" w:cs="Tinos"/>
                <w:bCs/>
              </w:rPr>
            </w:pPr>
            <w:r>
              <w:rPr>
                <w:rFonts w:ascii="Tinos" w:hAnsi="Tinos" w:eastAsia="Tinos" w:cs="Tinos"/>
                <w:bCs/>
              </w:rPr>
              <w:t xml:space="preserve">Адрес почтовый: 667001, Республика Тыва, </w:t>
            </w:r>
            <w:r>
              <w:rPr>
                <w:rFonts w:ascii="Tinos" w:hAnsi="Tinos" w:cs="Tinos"/>
                <w:bCs/>
              </w:rPr>
            </w:r>
          </w:p>
          <w:p>
            <w:pPr>
              <w:spacing w:after="0" w:line="17" w:lineRule="atLeast"/>
              <w:shd w:val="clear" w:color="auto" w:fill="ffffff"/>
              <w:rPr>
                <w:rFonts w:ascii="Tinos" w:hAnsi="Tinos" w:cs="Tinos"/>
                <w:bCs/>
              </w:rPr>
            </w:pPr>
            <w:r>
              <w:rPr>
                <w:rFonts w:ascii="Tinos" w:hAnsi="Tinos" w:eastAsia="Tinos" w:cs="Tinos"/>
                <w:bCs/>
              </w:rPr>
              <w:t xml:space="preserve">г. Кызыл, ул. Рабочая, 4 </w:t>
            </w:r>
            <w:r>
              <w:rPr>
                <w:rFonts w:ascii="Tinos" w:hAnsi="Tinos" w:cs="Tinos"/>
                <w:bCs/>
              </w:rPr>
            </w:r>
          </w:p>
          <w:p>
            <w:pPr>
              <w:spacing w:after="0" w:line="17" w:lineRule="atLeast"/>
              <w:shd w:val="clear" w:color="auto" w:fill="ffffff"/>
              <w:rPr>
                <w:rFonts w:ascii="Tinos" w:hAnsi="Tinos" w:cs="Tinos"/>
                <w:bCs/>
              </w:rPr>
            </w:pPr>
            <w:r>
              <w:rPr>
                <w:rFonts w:ascii="Tinos" w:hAnsi="Tinos" w:eastAsia="Tinos" w:cs="Tinos"/>
                <w:bCs/>
              </w:rPr>
              <w:t xml:space="preserve">ИНН/КПП 1701029232 /170101001</w:t>
            </w:r>
            <w:r>
              <w:rPr>
                <w:rFonts w:ascii="Tinos" w:hAnsi="Tinos" w:cs="Tinos"/>
                <w:bCs/>
              </w:rPr>
            </w:r>
          </w:p>
          <w:p>
            <w:pPr>
              <w:spacing w:after="0" w:line="17" w:lineRule="atLeast"/>
              <w:shd w:val="clear" w:color="auto" w:fill="ffffff"/>
              <w:rPr>
                <w:rFonts w:ascii="Tinos" w:hAnsi="Tinos" w:cs="Tinos"/>
                <w:bCs/>
              </w:rPr>
            </w:pPr>
            <w:r>
              <w:rPr>
                <w:rFonts w:ascii="Tinos" w:hAnsi="Tinos" w:eastAsia="Tinos" w:cs="Tinos"/>
                <w:bCs/>
              </w:rPr>
              <w:t xml:space="preserve">Р/с 40702810865000001852</w:t>
            </w:r>
            <w:r>
              <w:rPr>
                <w:rFonts w:ascii="Tinos" w:hAnsi="Tinos" w:cs="Tinos"/>
                <w:bCs/>
              </w:rPr>
            </w:r>
          </w:p>
          <w:p>
            <w:pPr>
              <w:spacing w:after="0" w:line="17" w:lineRule="atLeast"/>
              <w:shd w:val="clear" w:color="auto" w:fill="ffffff"/>
              <w:rPr>
                <w:rFonts w:ascii="Tinos" w:hAnsi="Tinos" w:cs="Tinos"/>
                <w:bCs/>
              </w:rPr>
            </w:pPr>
            <w:r>
              <w:rPr>
                <w:rFonts w:ascii="Tinos" w:hAnsi="Tinos" w:eastAsia="Tinos" w:cs="Tinos"/>
                <w:bCs/>
              </w:rPr>
              <w:t xml:space="preserve">в КРАСНОЯРСКОЕ ОТДЕЛЕНИЕ № 8646 </w:t>
            </w:r>
            <w:r>
              <w:rPr>
                <w:rFonts w:ascii="Tinos" w:hAnsi="Tinos" w:cs="Tinos"/>
                <w:bCs/>
              </w:rPr>
            </w:r>
          </w:p>
          <w:p>
            <w:pPr>
              <w:spacing w:after="0" w:line="17" w:lineRule="atLeast"/>
              <w:shd w:val="clear" w:color="auto" w:fill="ffffff"/>
              <w:rPr>
                <w:rFonts w:ascii="Tinos" w:hAnsi="Tinos" w:cs="Tinos"/>
                <w:bCs/>
              </w:rPr>
            </w:pPr>
            <w:r>
              <w:rPr>
                <w:rFonts w:ascii="Tinos" w:hAnsi="Tinos" w:eastAsia="Tinos" w:cs="Tinos"/>
                <w:bCs/>
              </w:rPr>
              <w:t xml:space="preserve">ПАО СБЕРБАНК г. КРАСНОЯРСК</w:t>
            </w:r>
            <w:r>
              <w:rPr>
                <w:rFonts w:ascii="Tinos" w:hAnsi="Tinos" w:cs="Tinos"/>
                <w:bCs/>
              </w:rPr>
            </w:r>
          </w:p>
          <w:p>
            <w:pPr>
              <w:spacing w:after="0" w:line="17" w:lineRule="atLeast"/>
              <w:shd w:val="clear" w:color="auto" w:fill="ffffff"/>
              <w:rPr>
                <w:rFonts w:ascii="Tinos" w:hAnsi="Tinos" w:cs="Tinos"/>
                <w:bCs/>
              </w:rPr>
            </w:pPr>
            <w:r>
              <w:rPr>
                <w:rFonts w:ascii="Tinos" w:hAnsi="Tinos" w:eastAsia="Tinos" w:cs="Tinos"/>
                <w:bCs/>
              </w:rPr>
              <w:t xml:space="preserve">К/с 30101810800000000627</w:t>
            </w:r>
            <w:r>
              <w:rPr>
                <w:rFonts w:ascii="Tinos" w:hAnsi="Tinos" w:cs="Tinos"/>
                <w:bCs/>
              </w:rPr>
            </w:r>
          </w:p>
          <w:p>
            <w:pPr>
              <w:spacing w:after="0" w:line="17" w:lineRule="atLeast"/>
              <w:shd w:val="clear" w:color="auto" w:fill="ffffff"/>
              <w:rPr>
                <w:rFonts w:ascii="Tinos" w:hAnsi="Tinos" w:cs="Tinos"/>
                <w:bCs/>
              </w:rPr>
            </w:pPr>
            <w:r>
              <w:rPr>
                <w:rFonts w:ascii="Tinos" w:hAnsi="Tinos" w:eastAsia="Tinos" w:cs="Tinos"/>
                <w:bCs/>
              </w:rPr>
              <w:t xml:space="preserve">БИК 040407627</w:t>
            </w:r>
            <w:r>
              <w:rPr>
                <w:rFonts w:ascii="Tinos" w:hAnsi="Tinos" w:cs="Tinos"/>
                <w:bCs/>
              </w:rPr>
            </w:r>
          </w:p>
          <w:p>
            <w:pPr>
              <w:spacing w:after="0" w:line="17" w:lineRule="atLeast"/>
              <w:shd w:val="clear" w:color="auto" w:fill="ffffff"/>
              <w:widowControl w:val="off"/>
              <w:rPr>
                <w:rFonts w:ascii="Tinos" w:hAnsi="Tinos" w:cs="Tinos"/>
                <w:bCs/>
              </w:rPr>
            </w:pPr>
            <w:r>
              <w:rPr>
                <w:rFonts w:ascii="Tinos" w:hAnsi="Tinos" w:eastAsia="Tinos" w:cs="Tinos"/>
                <w:bCs/>
              </w:rPr>
              <w:t xml:space="preserve">ОГРН 1021700509566</w:t>
            </w:r>
            <w:r>
              <w:rPr>
                <w:rFonts w:ascii="Tinos" w:hAnsi="Tinos" w:cs="Tinos"/>
                <w:bCs/>
              </w:rPr>
            </w:r>
          </w:p>
          <w:p>
            <w:pPr>
              <w:spacing w:after="0" w:line="17" w:lineRule="atLeast"/>
              <w:shd w:val="clear" w:color="auto" w:fill="ffffff"/>
              <w:widowControl w:val="off"/>
              <w:rPr>
                <w:rFonts w:ascii="Tinos" w:hAnsi="Tinos" w:cs="Tinos"/>
                <w:bCs/>
              </w:rPr>
            </w:pPr>
            <w:r>
              <w:rPr>
                <w:rFonts w:ascii="Tinos" w:hAnsi="Tinos" w:cs="Tinos"/>
                <w:bCs/>
              </w:rPr>
            </w:r>
            <w:r>
              <w:rPr>
                <w:rFonts w:ascii="Tinos" w:hAnsi="Tinos" w:cs="Tinos"/>
                <w:bCs/>
              </w:rPr>
            </w:r>
          </w:p>
          <w:p>
            <w:pPr>
              <w:spacing w:after="0" w:line="17" w:lineRule="atLeast"/>
              <w:shd w:val="clear" w:color="auto" w:fill="ffffff"/>
              <w:widowControl w:val="off"/>
              <w:rPr>
                <w:rFonts w:ascii="Tinos" w:hAnsi="Tinos" w:cs="Tinos"/>
                <w:bCs/>
              </w:rPr>
            </w:pPr>
            <w:r>
              <w:rPr>
                <w:rFonts w:ascii="Tinos" w:hAnsi="Tinos" w:cs="Tinos"/>
                <w:bCs/>
              </w:rPr>
            </w:r>
            <w:r>
              <w:rPr>
                <w:rFonts w:ascii="Tinos" w:hAnsi="Tinos" w:cs="Tinos"/>
                <w:bCs/>
              </w:rPr>
            </w:r>
          </w:p>
          <w:p>
            <w:pPr>
              <w:spacing w:after="0" w:line="17" w:lineRule="atLeast"/>
              <w:shd w:val="clear" w:color="auto" w:fill="ffffff"/>
              <w:widowControl w:val="off"/>
              <w:rPr>
                <w:rFonts w:ascii="Tinos" w:hAnsi="Tinos" w:cs="Tinos"/>
                <w:bCs/>
              </w:rPr>
            </w:pPr>
            <w:r>
              <w:rPr>
                <w:rFonts w:ascii="Tinos" w:hAnsi="Tinos" w:eastAsia="Tinos" w:cs="Tinos"/>
                <w:bCs/>
              </w:rPr>
              <w:t xml:space="preserve">_________________/ А.В. Лукин /</w:t>
            </w:r>
            <w:r>
              <w:rPr>
                <w:rFonts w:ascii="Tinos" w:hAnsi="Tinos" w:cs="Tinos"/>
                <w:bCs/>
              </w:rPr>
            </w:r>
          </w:p>
        </w:tc>
        <w:tc>
          <w:tcPr>
            <w:tcW w:w="5277" w:type="dxa"/>
            <w:vAlign w:val="center"/>
            <w:textDirection w:val="lrTb"/>
            <w:noWrap w:val="false"/>
          </w:tcPr>
          <w:p>
            <w:pPr>
              <w:spacing w:after="0" w:line="17" w:lineRule="atLeast"/>
              <w:shd w:val="clear" w:color="auto" w:fill="ffffff"/>
              <w:widowControl w:val="off"/>
              <w:rPr>
                <w:rFonts w:ascii="Tinos" w:hAnsi="Tinos" w:cs="Tinos"/>
                <w:b/>
                <w:bCs/>
              </w:rPr>
            </w:pPr>
            <w:r>
              <w:rPr>
                <w:rFonts w:ascii="Tinos" w:hAnsi="Tinos" w:cs="Tinos"/>
                <w:b/>
                <w:bCs/>
              </w:rPr>
            </w:r>
            <w:r>
              <w:rPr>
                <w:rFonts w:ascii="Tinos" w:hAnsi="Tinos" w:cs="Tinos"/>
                <w:b/>
                <w:bCs/>
              </w:rPr>
            </w:r>
          </w:p>
          <w:p>
            <w:pPr>
              <w:spacing w:after="0" w:line="17" w:lineRule="atLeast"/>
              <w:shd w:val="clear" w:color="auto" w:fill="ffffff"/>
              <w:widowControl w:val="off"/>
              <w:rPr>
                <w:rFonts w:ascii="Tinos" w:hAnsi="Tinos" w:cs="Tinos"/>
                <w:b/>
                <w:bCs/>
              </w:rPr>
            </w:pPr>
            <w:r>
              <w:rPr>
                <w:rFonts w:ascii="Tinos" w:hAnsi="Tinos" w:eastAsia="Tinos" w:cs="Tinos"/>
                <w:b/>
                <w:bCs/>
              </w:rPr>
              <w:t xml:space="preserve">Поставщик:</w:t>
            </w:r>
            <w:r>
              <w:rPr>
                <w:rFonts w:ascii="Tinos" w:hAnsi="Tinos" w:cs="Tinos"/>
                <w:b/>
                <w:bCs/>
              </w:rPr>
            </w:r>
          </w:p>
          <w:p>
            <w:pPr>
              <w:spacing w:after="0" w:line="17" w:lineRule="atLeast"/>
              <w:shd w:val="clear" w:color="auto" w:fill="ffffff"/>
              <w:widowControl w:val="off"/>
              <w:rPr>
                <w:rFonts w:ascii="Tinos" w:hAnsi="Tinos" w:cs="Tinos"/>
                <w:bCs/>
              </w:rPr>
            </w:pPr>
            <w:r>
              <w:rPr>
                <w:rFonts w:ascii="Tinos" w:hAnsi="Tinos" w:cs="Tinos"/>
                <w:bCs/>
              </w:rPr>
            </w:r>
            <w:r>
              <w:rPr>
                <w:rFonts w:ascii="Tinos" w:hAnsi="Tinos" w:cs="Tinos"/>
                <w:bCs/>
              </w:rPr>
            </w:r>
          </w:p>
          <w:p>
            <w:pPr>
              <w:spacing w:after="0" w:line="17" w:lineRule="atLeast"/>
              <w:shd w:val="clear" w:color="auto" w:fill="ffffff"/>
              <w:widowControl w:val="off"/>
              <w:rPr>
                <w:rFonts w:ascii="Tinos" w:hAnsi="Tinos" w:cs="Tinos"/>
                <w:bCs/>
              </w:rPr>
            </w:pPr>
            <w:r>
              <w:rPr>
                <w:rFonts w:ascii="Tinos" w:hAnsi="Tinos" w:eastAsia="Tinos" w:cs="Tinos"/>
                <w:bCs/>
              </w:rPr>
              <w:t xml:space="preserve">Адрес юридический:</w:t>
            </w:r>
            <w:r>
              <w:rPr>
                <w:rFonts w:ascii="Tinos" w:hAnsi="Tinos" w:eastAsia="Tinos" w:cs="Tinos"/>
              </w:rPr>
              <w:t xml:space="preserve"> </w:t>
            </w:r>
            <w:r>
              <w:rPr>
                <w:rFonts w:ascii="Tinos" w:hAnsi="Tinos" w:cs="Tinos"/>
                <w:bCs/>
              </w:rPr>
            </w:r>
          </w:p>
          <w:p>
            <w:pPr>
              <w:spacing w:after="0" w:line="17" w:lineRule="atLeast"/>
              <w:shd w:val="clear" w:color="auto" w:fill="ffffff"/>
              <w:widowControl w:val="off"/>
              <w:rPr>
                <w:rFonts w:ascii="Tinos" w:hAnsi="Tinos" w:cs="Tinos"/>
                <w:bCs/>
              </w:rPr>
            </w:pPr>
            <w:r>
              <w:rPr>
                <w:rFonts w:ascii="Tinos" w:hAnsi="Tinos" w:cs="Tinos"/>
                <w:bCs/>
              </w:rPr>
            </w:r>
            <w:r>
              <w:rPr>
                <w:rFonts w:ascii="Tinos" w:hAnsi="Tinos" w:cs="Tinos"/>
                <w:bCs/>
              </w:rPr>
            </w:r>
          </w:p>
          <w:p>
            <w:pPr>
              <w:spacing w:after="0" w:line="17" w:lineRule="atLeast"/>
              <w:shd w:val="clear" w:color="auto" w:fill="ffffff"/>
              <w:widowControl w:val="off"/>
              <w:rPr>
                <w:rFonts w:ascii="Tinos" w:hAnsi="Tinos" w:cs="Tinos"/>
                <w:bCs/>
              </w:rPr>
            </w:pPr>
            <w:r>
              <w:rPr>
                <w:rFonts w:ascii="Tinos" w:hAnsi="Tinos" w:eastAsia="Tinos" w:cs="Tinos"/>
                <w:bCs/>
              </w:rPr>
              <w:t xml:space="preserve">Адрес почтовый: </w:t>
            </w:r>
            <w:r>
              <w:rPr>
                <w:rFonts w:ascii="Tinos" w:hAnsi="Tinos" w:cs="Tinos"/>
                <w:bCs/>
              </w:rPr>
            </w:r>
          </w:p>
          <w:p>
            <w:pPr>
              <w:spacing w:after="0" w:line="17" w:lineRule="atLeast"/>
              <w:shd w:val="clear" w:color="auto" w:fill="ffffff"/>
              <w:widowControl w:val="off"/>
              <w:rPr>
                <w:rFonts w:ascii="Tinos" w:hAnsi="Tinos" w:cs="Tinos"/>
                <w:bCs/>
              </w:rPr>
            </w:pPr>
            <w:r>
              <w:rPr>
                <w:rFonts w:ascii="Tinos" w:hAnsi="Tinos" w:cs="Tinos"/>
                <w:bCs/>
              </w:rPr>
            </w:r>
            <w:r>
              <w:rPr>
                <w:rFonts w:ascii="Tinos" w:hAnsi="Tinos" w:cs="Tinos"/>
                <w:bCs/>
              </w:rPr>
            </w:r>
          </w:p>
          <w:p>
            <w:pPr>
              <w:spacing w:after="0" w:line="17" w:lineRule="atLeast"/>
              <w:shd w:val="clear" w:color="auto" w:fill="ffffff"/>
              <w:widowControl w:val="off"/>
              <w:rPr>
                <w:rFonts w:ascii="Tinos" w:hAnsi="Tinos" w:cs="Tinos"/>
                <w:bCs/>
              </w:rPr>
            </w:pPr>
            <w:r>
              <w:rPr>
                <w:rFonts w:ascii="Tinos" w:hAnsi="Tinos" w:eastAsia="Tinos" w:cs="Tinos"/>
                <w:bCs/>
              </w:rPr>
              <w:t xml:space="preserve">ИНН/КПП </w:t>
            </w:r>
            <w:r>
              <w:rPr>
                <w:rFonts w:ascii="Tinos" w:hAnsi="Tinos" w:cs="Tinos"/>
                <w:bCs/>
              </w:rPr>
            </w:r>
          </w:p>
          <w:p>
            <w:pPr>
              <w:spacing w:after="0" w:line="17" w:lineRule="atLeast"/>
              <w:shd w:val="clear" w:color="auto" w:fill="ffffff"/>
              <w:widowControl w:val="off"/>
              <w:rPr>
                <w:rFonts w:ascii="Tinos" w:hAnsi="Tinos" w:cs="Tinos"/>
                <w:bCs/>
              </w:rPr>
            </w:pPr>
            <w:r>
              <w:rPr>
                <w:rFonts w:ascii="Tinos" w:hAnsi="Tinos" w:eastAsia="Tinos" w:cs="Tinos"/>
                <w:bCs/>
              </w:rPr>
              <w:t xml:space="preserve">Р/с </w:t>
            </w:r>
            <w:r>
              <w:rPr>
                <w:rFonts w:ascii="Tinos" w:hAnsi="Tinos" w:cs="Tinos"/>
                <w:bCs/>
              </w:rPr>
            </w:r>
          </w:p>
          <w:p>
            <w:pPr>
              <w:spacing w:after="0" w:line="17" w:lineRule="atLeast"/>
              <w:shd w:val="clear" w:color="auto" w:fill="ffffff"/>
              <w:widowControl w:val="off"/>
              <w:rPr>
                <w:rFonts w:ascii="Tinos" w:hAnsi="Tinos" w:cs="Tinos"/>
                <w:bCs/>
              </w:rPr>
            </w:pPr>
            <w:r>
              <w:rPr>
                <w:rFonts w:ascii="Tinos" w:hAnsi="Tinos" w:cs="Tinos"/>
                <w:bCs/>
              </w:rPr>
            </w:r>
            <w:r>
              <w:rPr>
                <w:rFonts w:ascii="Tinos" w:hAnsi="Tinos" w:cs="Tinos"/>
                <w:bCs/>
              </w:rPr>
            </w:r>
          </w:p>
          <w:p>
            <w:pPr>
              <w:spacing w:after="0" w:line="17" w:lineRule="atLeast"/>
              <w:shd w:val="clear" w:color="auto" w:fill="ffffff"/>
              <w:widowControl w:val="off"/>
              <w:rPr>
                <w:rFonts w:ascii="Tinos" w:hAnsi="Tinos" w:cs="Tinos"/>
                <w:bCs/>
              </w:rPr>
            </w:pPr>
            <w:r>
              <w:rPr>
                <w:rFonts w:ascii="Tinos" w:hAnsi="Tinos" w:eastAsia="Tinos" w:cs="Tinos"/>
                <w:bCs/>
              </w:rPr>
              <w:t xml:space="preserve">К/с </w:t>
            </w:r>
            <w:r>
              <w:rPr>
                <w:rFonts w:ascii="Tinos" w:hAnsi="Tinos" w:cs="Tinos"/>
                <w:bCs/>
              </w:rPr>
            </w:r>
          </w:p>
          <w:p>
            <w:pPr>
              <w:spacing w:after="0" w:line="17" w:lineRule="atLeast"/>
              <w:shd w:val="clear" w:color="auto" w:fill="ffffff"/>
              <w:widowControl w:val="off"/>
              <w:rPr>
                <w:rFonts w:ascii="Tinos" w:hAnsi="Tinos" w:cs="Tinos"/>
                <w:bCs/>
              </w:rPr>
            </w:pPr>
            <w:r>
              <w:rPr>
                <w:rFonts w:ascii="Tinos" w:hAnsi="Tinos" w:eastAsia="Tinos" w:cs="Tinos"/>
                <w:bCs/>
              </w:rPr>
              <w:t xml:space="preserve">БИК </w:t>
            </w:r>
            <w:r>
              <w:rPr>
                <w:rFonts w:ascii="Tinos" w:hAnsi="Tinos" w:cs="Tinos"/>
                <w:bCs/>
              </w:rPr>
            </w:r>
          </w:p>
          <w:p>
            <w:pPr>
              <w:spacing w:after="0" w:line="17" w:lineRule="atLeast"/>
              <w:shd w:val="clear" w:color="auto" w:fill="ffffff"/>
              <w:widowControl w:val="off"/>
              <w:rPr>
                <w:rFonts w:ascii="Tinos" w:hAnsi="Tinos" w:cs="Tinos"/>
                <w:bCs/>
              </w:rPr>
            </w:pPr>
            <w:r>
              <w:rPr>
                <w:rFonts w:ascii="Tinos" w:hAnsi="Tinos" w:eastAsia="Tinos" w:cs="Tinos"/>
                <w:bCs/>
              </w:rPr>
              <w:t xml:space="preserve">ОГРН </w:t>
            </w:r>
            <w:r>
              <w:rPr>
                <w:rFonts w:ascii="Tinos" w:hAnsi="Tinos" w:cs="Tinos"/>
                <w:bCs/>
              </w:rPr>
            </w:r>
          </w:p>
          <w:p>
            <w:pPr>
              <w:spacing w:after="0" w:line="17" w:lineRule="atLeast"/>
              <w:shd w:val="clear" w:color="auto" w:fill="ffffff"/>
              <w:widowControl w:val="off"/>
              <w:rPr>
                <w:rFonts w:ascii="Tinos" w:hAnsi="Tinos" w:cs="Tinos"/>
                <w:bCs/>
              </w:rPr>
            </w:pPr>
            <w:r>
              <w:rPr>
                <w:rFonts w:ascii="Tinos" w:hAnsi="Tinos" w:eastAsia="Tinos" w:cs="Tinos"/>
                <w:bCs/>
              </w:rPr>
              <w:t xml:space="preserve">ОКПО </w:t>
            </w:r>
            <w:r>
              <w:rPr>
                <w:rFonts w:ascii="Tinos" w:hAnsi="Tinos" w:cs="Tinos"/>
                <w:bCs/>
              </w:rPr>
            </w:r>
          </w:p>
          <w:p>
            <w:pPr>
              <w:spacing w:after="0" w:line="17" w:lineRule="atLeast"/>
              <w:shd w:val="clear" w:color="auto" w:fill="ffffff"/>
              <w:widowControl w:val="off"/>
              <w:rPr>
                <w:rFonts w:ascii="Tinos" w:hAnsi="Tinos" w:cs="Tinos"/>
                <w:bCs/>
              </w:rPr>
            </w:pPr>
            <w:r>
              <w:rPr>
                <w:rFonts w:ascii="Tinos" w:hAnsi="Tinos" w:cs="Tinos"/>
                <w:bCs/>
              </w:rPr>
            </w:r>
            <w:r>
              <w:rPr>
                <w:rFonts w:ascii="Tinos" w:hAnsi="Tinos" w:cs="Tinos"/>
                <w:bCs/>
              </w:rPr>
            </w:r>
          </w:p>
          <w:p>
            <w:pPr>
              <w:spacing w:after="0" w:line="17" w:lineRule="atLeast"/>
              <w:shd w:val="clear" w:color="auto" w:fill="ffffff"/>
              <w:widowControl w:val="off"/>
              <w:rPr>
                <w:rFonts w:ascii="Tinos" w:hAnsi="Tinos" w:cs="Tinos"/>
                <w:bCs/>
              </w:rPr>
            </w:pPr>
            <w:r>
              <w:rPr>
                <w:rFonts w:ascii="Tinos" w:hAnsi="Tinos" w:cs="Tinos"/>
                <w:bCs/>
              </w:rPr>
            </w:r>
            <w:r>
              <w:rPr>
                <w:rFonts w:ascii="Tinos" w:hAnsi="Tinos" w:cs="Tinos"/>
                <w:bCs/>
              </w:rPr>
            </w:r>
          </w:p>
          <w:p>
            <w:pPr>
              <w:spacing w:after="0" w:line="17" w:lineRule="atLeast"/>
              <w:shd w:val="clear" w:color="auto" w:fill="ffffff"/>
              <w:widowControl w:val="off"/>
              <w:rPr>
                <w:rFonts w:ascii="Tinos" w:hAnsi="Tinos" w:cs="Tinos"/>
                <w:bCs/>
              </w:rPr>
            </w:pPr>
            <w:r>
              <w:rPr>
                <w:rFonts w:ascii="Tinos" w:hAnsi="Tinos" w:eastAsia="Tinos" w:cs="Tinos"/>
                <w:bCs/>
              </w:rPr>
              <w:t xml:space="preserve">__________________/ /</w:t>
            </w:r>
            <w:r>
              <w:rPr>
                <w:rFonts w:ascii="Tinos" w:hAnsi="Tinos" w:cs="Tinos"/>
                <w:bCs/>
              </w:rPr>
            </w:r>
          </w:p>
        </w:tc>
      </w:tr>
      <w:tr>
        <w:tblPrEx/>
        <w:trPr>
          <w:trHeight w:val="288"/>
        </w:trPr>
        <w:tc>
          <w:tcPr>
            <w:tcW w:w="4644" w:type="dxa"/>
            <w:vAlign w:val="center"/>
            <w:textDirection w:val="lrTb"/>
            <w:noWrap w:val="false"/>
          </w:tcPr>
          <w:p>
            <w:pPr>
              <w:spacing w:after="0" w:line="17" w:lineRule="atLeast"/>
              <w:shd w:val="clear" w:color="auto" w:fill="ffffff"/>
              <w:widowControl w:val="off"/>
              <w:rPr>
                <w:rFonts w:ascii="Tinos" w:hAnsi="Tinos" w:cs="Tinos"/>
                <w:bCs/>
              </w:rPr>
            </w:pPr>
            <w:r>
              <w:rPr>
                <w:rFonts w:ascii="Tinos" w:hAnsi="Tinos" w:eastAsia="Tinos" w:cs="Tinos"/>
                <w:bCs/>
              </w:rPr>
              <w:t xml:space="preserve">М.П.</w:t>
            </w:r>
            <w:r>
              <w:rPr>
                <w:rFonts w:ascii="Tinos" w:hAnsi="Tinos" w:cs="Tinos"/>
                <w:bCs/>
              </w:rPr>
            </w:r>
          </w:p>
        </w:tc>
        <w:tc>
          <w:tcPr>
            <w:tcW w:w="5277" w:type="dxa"/>
            <w:vAlign w:val="center"/>
            <w:textDirection w:val="lrTb"/>
            <w:noWrap w:val="false"/>
          </w:tcPr>
          <w:p>
            <w:pPr>
              <w:spacing w:after="0" w:line="17" w:lineRule="atLeast"/>
              <w:shd w:val="clear" w:color="auto" w:fill="ffffff"/>
              <w:widowControl w:val="off"/>
              <w:rPr>
                <w:rFonts w:ascii="Tinos" w:hAnsi="Tinos" w:cs="Tinos"/>
                <w:bCs/>
              </w:rPr>
            </w:pPr>
            <w:r>
              <w:rPr>
                <w:rFonts w:ascii="Tinos" w:hAnsi="Tinos" w:eastAsia="Tinos" w:cs="Tinos"/>
                <w:bCs/>
              </w:rPr>
              <w:t xml:space="preserve">М.П.</w:t>
            </w:r>
            <w:r>
              <w:rPr>
                <w:rFonts w:ascii="Tinos" w:hAnsi="Tinos" w:cs="Tinos"/>
                <w:bCs/>
              </w:rPr>
            </w:r>
          </w:p>
        </w:tc>
      </w:tr>
      <w:tr>
        <w:tblPrEx/>
        <w:trPr>
          <w:trHeight w:val="288"/>
        </w:trPr>
        <w:tc>
          <w:tcPr>
            <w:tcW w:w="4644" w:type="dxa"/>
            <w:vAlign w:val="center"/>
            <w:textDirection w:val="lrTb"/>
            <w:noWrap w:val="false"/>
          </w:tcPr>
          <w:p>
            <w:pPr>
              <w:spacing w:after="0" w:line="17" w:lineRule="atLeast"/>
              <w:shd w:val="clear" w:color="auto" w:fill="ffffff"/>
              <w:widowControl w:val="off"/>
              <w:rPr>
                <w:rFonts w:ascii="Tinos" w:hAnsi="Tinos" w:cs="Tinos"/>
                <w:bCs/>
              </w:rPr>
            </w:pPr>
            <w:r>
              <w:rPr>
                <w:rFonts w:ascii="Tinos" w:hAnsi="Tinos" w:cs="Tinos"/>
                <w:bCs/>
              </w:rPr>
            </w:r>
            <w:r>
              <w:rPr>
                <w:rFonts w:ascii="Tinos" w:hAnsi="Tinos" w:cs="Tinos"/>
                <w:bCs/>
              </w:rPr>
            </w:r>
          </w:p>
          <w:p>
            <w:pPr>
              <w:spacing w:after="0" w:line="17" w:lineRule="atLeast"/>
              <w:shd w:val="clear" w:color="auto" w:fill="ffffff"/>
              <w:widowControl w:val="off"/>
              <w:rPr>
                <w:rFonts w:ascii="Tinos" w:hAnsi="Tinos" w:cs="Tinos"/>
                <w:bCs/>
              </w:rPr>
            </w:pPr>
            <w:r>
              <w:rPr>
                <w:rFonts w:ascii="Tinos" w:hAnsi="Tinos" w:eastAsia="Tinos" w:cs="Tinos"/>
                <w:bCs/>
              </w:rPr>
              <w:t xml:space="preserve">«_____»_____________20___г.</w:t>
            </w:r>
            <w:r>
              <w:rPr>
                <w:rFonts w:ascii="Tinos" w:hAnsi="Tinos" w:cs="Tinos"/>
                <w:bCs/>
              </w:rPr>
            </w:r>
          </w:p>
        </w:tc>
        <w:tc>
          <w:tcPr>
            <w:tcW w:w="5277" w:type="dxa"/>
            <w:vAlign w:val="center"/>
            <w:textDirection w:val="lrTb"/>
            <w:noWrap w:val="false"/>
          </w:tcPr>
          <w:p>
            <w:pPr>
              <w:spacing w:after="0" w:line="17" w:lineRule="atLeast"/>
              <w:shd w:val="clear" w:color="auto" w:fill="ffffff"/>
              <w:widowControl w:val="off"/>
              <w:rPr>
                <w:rFonts w:ascii="Tinos" w:hAnsi="Tinos" w:cs="Tinos"/>
                <w:bCs/>
              </w:rPr>
            </w:pPr>
            <w:r>
              <w:rPr>
                <w:rFonts w:ascii="Tinos" w:hAnsi="Tinos" w:cs="Tinos"/>
                <w:bCs/>
              </w:rPr>
            </w:r>
            <w:r>
              <w:rPr>
                <w:rFonts w:ascii="Tinos" w:hAnsi="Tinos" w:cs="Tinos"/>
                <w:bCs/>
              </w:rPr>
            </w:r>
          </w:p>
          <w:p>
            <w:pPr>
              <w:spacing w:after="0" w:line="17" w:lineRule="atLeast"/>
              <w:shd w:val="clear" w:color="auto" w:fill="ffffff"/>
              <w:widowControl w:val="off"/>
              <w:rPr>
                <w:rFonts w:ascii="Tinos" w:hAnsi="Tinos" w:cs="Tinos"/>
                <w:bCs/>
              </w:rPr>
            </w:pPr>
            <w:r>
              <w:rPr>
                <w:rFonts w:ascii="Tinos" w:hAnsi="Tinos" w:eastAsia="Tinos" w:cs="Tinos"/>
                <w:bCs/>
              </w:rPr>
              <w:t xml:space="preserve">«_____»_____________20___г.</w:t>
            </w:r>
            <w:r>
              <w:rPr>
                <w:rFonts w:ascii="Tinos" w:hAnsi="Tinos" w:cs="Tinos"/>
                <w:bCs/>
              </w:rPr>
            </w:r>
          </w:p>
          <w:p>
            <w:pPr>
              <w:spacing w:after="0" w:line="17" w:lineRule="atLeast"/>
              <w:shd w:val="clear" w:color="auto" w:fill="ffffff"/>
              <w:widowControl w:val="off"/>
              <w:rPr>
                <w:rFonts w:ascii="Tinos" w:hAnsi="Tinos" w:cs="Tinos"/>
                <w:bCs/>
              </w:rPr>
            </w:pPr>
            <w:r>
              <w:rPr>
                <w:rFonts w:ascii="Tinos" w:hAnsi="Tinos" w:cs="Tinos"/>
                <w:bCs/>
              </w:rPr>
            </w:r>
            <w:r>
              <w:rPr>
                <w:rFonts w:ascii="Tinos" w:hAnsi="Tinos" w:cs="Tinos"/>
                <w:bCs/>
              </w:rPr>
            </w:r>
          </w:p>
        </w:tc>
      </w:tr>
    </w:tbl>
    <w:p>
      <w:pPr>
        <w:spacing w:after="0" w:line="17" w:lineRule="atLeast"/>
        <w:shd w:val="clear" w:color="auto" w:fill="ffffff"/>
        <w:widowControl w:val="off"/>
        <w:rPr>
          <w:rFonts w:ascii="Tinos" w:hAnsi="Tinos" w:cs="Tinos"/>
          <w:b/>
        </w:rPr>
      </w:pPr>
      <w:r>
        <w:rPr>
          <w:rFonts w:ascii="Tinos" w:hAnsi="Tinos" w:cs="Tinos"/>
          <w:b/>
        </w:rPr>
      </w:r>
      <w:r>
        <w:rPr>
          <w:rFonts w:ascii="Tinos" w:hAnsi="Tinos" w:cs="Tinos"/>
          <w:b/>
        </w:rPr>
      </w:r>
    </w:p>
    <w:p>
      <w:pPr>
        <w:spacing w:after="0" w:line="240" w:lineRule="auto"/>
        <w:rPr>
          <w:rFonts w:ascii="Times New Roman" w:hAnsi="Times New Roman" w:cs="Times New Roman"/>
          <w:sz w:val="2"/>
          <w:szCs w:val="26"/>
        </w:rPr>
        <w:sectPr>
          <w:footnotePr/>
          <w:endnotePr/>
          <w:type w:val="nextPage"/>
          <w:pgSz w:w="11907" w:h="16840" w:orient="portrait"/>
          <w:pgMar w:top="1134" w:right="993" w:bottom="851" w:left="992" w:header="709" w:footer="709" w:gutter="0"/>
          <w:pgNumType w:start="1"/>
          <w:cols w:num="1" w:sep="0" w:space="720" w:equalWidth="1"/>
          <w:docGrid w:linePitch="360"/>
        </w:sectPr>
      </w:pPr>
      <w:r>
        <w:rPr>
          <w:rFonts w:ascii="Times New Roman" w:hAnsi="Times New Roman" w:cs="Times New Roman"/>
          <w:sz w:val="2"/>
          <w:szCs w:val="26"/>
        </w:rPr>
      </w:r>
      <w:r>
        <w:rPr>
          <w:rFonts w:ascii="Times New Roman" w:hAnsi="Times New Roman" w:cs="Times New Roman"/>
          <w:sz w:val="2"/>
          <w:szCs w:val="26"/>
        </w:rPr>
      </w:r>
    </w:p>
    <w:p>
      <w:pPr>
        <w:ind w:left="10620" w:firstLine="708"/>
        <w:spacing w:after="0" w:line="240" w:lineRule="auto"/>
        <w:widowControl w:val="off"/>
        <w:rPr>
          <w:rFonts w:ascii="Times New Roman" w:hAnsi="Times New Roman" w:cs="Times New Roman"/>
          <w:sz w:val="24"/>
          <w:szCs w:val="24"/>
        </w:rPr>
      </w:pPr>
      <w:r>
        <w:rPr>
          <w:rFonts w:ascii="Times New Roman" w:hAnsi="Times New Roman" w:cs="Times New Roman"/>
          <w:sz w:val="24"/>
          <w:szCs w:val="24"/>
        </w:rPr>
      </w:r>
      <w:r>
        <w:rPr>
          <w:rFonts w:ascii="Times New Roman" w:hAnsi="Times New Roman" w:cs="Times New Roman"/>
          <w:sz w:val="24"/>
          <w:szCs w:val="24"/>
        </w:rPr>
      </w:r>
    </w:p>
    <w:p>
      <w:pPr>
        <w:ind w:left="5954" w:firstLine="12"/>
        <w:spacing w:after="0" w:line="17" w:lineRule="atLeast"/>
        <w:widowControl w:val="off"/>
        <w:rPr>
          <w:rFonts w:ascii="Tinos" w:hAnsi="Tinos" w:cs="Tinos"/>
          <w:sz w:val="20"/>
          <w:szCs w:val="20"/>
        </w:rPr>
      </w:pPr>
      <w:r>
        <w:rPr>
          <w:rFonts w:ascii="Tinos" w:hAnsi="Tinos" w:eastAsia="Tinos" w:cs="Tinos"/>
          <w:sz w:val="20"/>
          <w:szCs w:val="20"/>
        </w:rPr>
        <w:t xml:space="preserve">          Приложение № 1 </w:t>
      </w:r>
      <w:r>
        <w:rPr>
          <w:rFonts w:ascii="Tinos" w:hAnsi="Tinos" w:cs="Tinos"/>
          <w:sz w:val="20"/>
          <w:szCs w:val="20"/>
        </w:rPr>
      </w:r>
    </w:p>
    <w:p>
      <w:pPr>
        <w:ind w:left="5954" w:firstLine="12"/>
        <w:spacing w:after="0" w:line="17" w:lineRule="atLeast"/>
        <w:widowControl w:val="off"/>
        <w:rPr>
          <w:rFonts w:ascii="Tinos" w:hAnsi="Tinos" w:cs="Tinos"/>
          <w:sz w:val="20"/>
          <w:szCs w:val="20"/>
        </w:rPr>
      </w:pPr>
      <w:r>
        <w:rPr>
          <w:rFonts w:ascii="Tinos" w:hAnsi="Tinos" w:eastAsia="Tinos" w:cs="Tinos"/>
          <w:sz w:val="20"/>
          <w:szCs w:val="20"/>
        </w:rPr>
        <w:t xml:space="preserve">          к Договору № ________________</w:t>
      </w:r>
      <w:r>
        <w:rPr>
          <w:rFonts w:ascii="Tinos" w:hAnsi="Tinos" w:cs="Tinos"/>
          <w:sz w:val="20"/>
          <w:szCs w:val="20"/>
        </w:rPr>
      </w:r>
    </w:p>
    <w:p>
      <w:pPr>
        <w:ind w:left="5954" w:firstLine="12"/>
        <w:spacing w:after="0" w:line="17" w:lineRule="atLeast"/>
        <w:widowControl w:val="off"/>
        <w:rPr>
          <w:rFonts w:ascii="Tinos" w:hAnsi="Tinos" w:eastAsia="Tinos" w:cs="Tinos"/>
          <w:sz w:val="20"/>
          <w:szCs w:val="20"/>
        </w:rPr>
      </w:pPr>
      <w:r>
        <w:rPr>
          <w:rFonts w:ascii="Tinos" w:hAnsi="Tinos" w:eastAsia="Tinos" w:cs="Tinos"/>
          <w:sz w:val="20"/>
          <w:szCs w:val="20"/>
        </w:rPr>
        <w:t xml:space="preserve">          от «___» ________ 20__ г.</w:t>
      </w:r>
      <w:r>
        <w:rPr>
          <w:rFonts w:ascii="Tinos" w:hAnsi="Tinos" w:eastAsia="Tinos" w:cs="Tinos"/>
          <w:sz w:val="20"/>
          <w:szCs w:val="20"/>
        </w:rPr>
      </w:r>
    </w:p>
    <w:p>
      <w:pPr>
        <w:ind w:left="5954" w:firstLine="12"/>
        <w:spacing w:after="0" w:line="17" w:lineRule="atLeast"/>
        <w:widowControl w:val="off"/>
        <w:rPr>
          <w:rFonts w:ascii="Tinos" w:hAnsi="Tinos" w:cs="Tinos"/>
          <w:sz w:val="20"/>
          <w:szCs w:val="20"/>
        </w:rPr>
      </w:pPr>
      <w:r>
        <w:rPr>
          <w:rFonts w:ascii="Tinos" w:hAnsi="Tinos" w:cs="Tinos"/>
          <w:sz w:val="20"/>
          <w:szCs w:val="20"/>
        </w:rPr>
      </w:r>
      <w:r>
        <w:rPr>
          <w:rFonts w:ascii="Tinos" w:hAnsi="Tinos" w:cs="Tinos"/>
          <w:sz w:val="20"/>
          <w:szCs w:val="20"/>
        </w:rPr>
      </w:r>
    </w:p>
    <w:p>
      <w:pPr>
        <w:ind w:left="709"/>
        <w:jc w:val="center"/>
        <w:spacing w:after="0" w:line="17" w:lineRule="atLeast"/>
        <w:rPr>
          <w:rFonts w:ascii="Tinos" w:hAnsi="Tinos" w:cs="Tinos"/>
          <w:bCs/>
          <w:sz w:val="20"/>
          <w:szCs w:val="20"/>
        </w:rPr>
      </w:pPr>
      <w:r>
        <w:rPr>
          <w:rFonts w:ascii="Tinos" w:hAnsi="Tinos" w:eastAsia="Tinos" w:cs="Tinos"/>
          <w:b/>
          <w:bCs/>
        </w:rPr>
        <w:t xml:space="preserve">Технические характеристики, требования к комплектации</w:t>
      </w:r>
      <w:r>
        <w:rPr>
          <w:rFonts w:ascii="Tinos" w:hAnsi="Tinos" w:eastAsia="Tinos" w:cs="Tinos"/>
          <w:bCs/>
        </w:rPr>
        <w:t xml:space="preserve">:</w:t>
      </w:r>
      <w:r>
        <w:rPr>
          <w:rFonts w:ascii="Tinos" w:hAnsi="Tinos" w:cs="Tinos"/>
          <w:bCs/>
          <w:sz w:val="20"/>
          <w:szCs w:val="20"/>
        </w:rPr>
      </w:r>
    </w:p>
    <w:tbl>
      <w:tblPr>
        <w:tblStyle w:val="1637"/>
        <w:tblW w:w="10485"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00" w:firstRow="0" w:lastRow="0" w:firstColumn="0" w:lastColumn="0" w:noHBand="0" w:noVBand="1"/>
      </w:tblPr>
      <w:tblGrid>
        <w:gridCol w:w="3397"/>
        <w:gridCol w:w="3402"/>
        <w:gridCol w:w="3686"/>
      </w:tblGrid>
      <w:tr>
        <w:tblPrEx/>
        <w:trPr>
          <w:jc w:val="center"/>
          <w:trHeight w:val="113"/>
        </w:trPr>
        <w:tc>
          <w:tcPr>
            <w:tcW w:w="3397" w:type="dxa"/>
            <w:textDirection w:val="lrTb"/>
            <w:noWrap w:val="false"/>
          </w:tcPr>
          <w:p>
            <w:pPr>
              <w:jc w:val="center"/>
              <w:rPr>
                <w:color w:val="000000"/>
                <w:sz w:val="24"/>
                <w:szCs w:val="24"/>
              </w:rPr>
            </w:pPr>
            <w:r>
              <w:rPr>
                <w:b/>
                <w:color w:val="000000"/>
                <w:sz w:val="24"/>
                <w:szCs w:val="24"/>
              </w:rPr>
              <w:t xml:space="preserve">Наименование показателей</w:t>
            </w:r>
            <w:r>
              <w:rPr>
                <w:color w:val="000000"/>
                <w:sz w:val="24"/>
                <w:szCs w:val="24"/>
              </w:rPr>
            </w:r>
          </w:p>
        </w:tc>
        <w:tc>
          <w:tcPr>
            <w:tcW w:w="3402" w:type="dxa"/>
            <w:textDirection w:val="lrTb"/>
            <w:noWrap w:val="false"/>
          </w:tcPr>
          <w:p>
            <w:pPr>
              <w:jc w:val="center"/>
              <w:rPr>
                <w:color w:val="000000"/>
                <w:sz w:val="24"/>
                <w:szCs w:val="24"/>
              </w:rPr>
            </w:pPr>
            <w:r>
              <w:rPr>
                <w:b/>
                <w:color w:val="000000"/>
                <w:sz w:val="24"/>
                <w:szCs w:val="24"/>
              </w:rPr>
              <w:t xml:space="preserve">Значение</w:t>
            </w:r>
            <w:r>
              <w:rPr>
                <w:color w:val="000000"/>
                <w:sz w:val="24"/>
                <w:szCs w:val="24"/>
              </w:rPr>
            </w:r>
          </w:p>
        </w:tc>
        <w:tc>
          <w:tcPr>
            <w:tcW w:w="3686" w:type="dxa"/>
            <w:textDirection w:val="lrTb"/>
            <w:noWrap w:val="false"/>
          </w:tcPr>
          <w:p>
            <w:pPr>
              <w:jc w:val="center"/>
              <w:rPr>
                <w:b/>
                <w:color w:val="000000"/>
                <w:sz w:val="24"/>
                <w:szCs w:val="24"/>
              </w:rPr>
            </w:pPr>
            <w:r>
              <w:rPr>
                <w:b/>
                <w:color w:val="000000"/>
                <w:sz w:val="24"/>
                <w:szCs w:val="24"/>
              </w:rPr>
              <w:t xml:space="preserve">Предлагаемые участником</w:t>
            </w:r>
            <w:r>
              <w:rPr>
                <w:b/>
                <w:color w:val="000000"/>
                <w:sz w:val="24"/>
                <w:szCs w:val="24"/>
              </w:rPr>
            </w:r>
          </w:p>
        </w:tc>
      </w:tr>
      <w:tr>
        <w:tblPrEx/>
        <w:trPr>
          <w:jc w:val="center"/>
          <w:trHeight w:val="113"/>
        </w:trPr>
        <w:tc>
          <w:tcPr>
            <w:gridSpan w:val="3"/>
            <w:tcW w:w="10485" w:type="dxa"/>
            <w:textDirection w:val="lrTb"/>
            <w:noWrap w:val="false"/>
          </w:tcPr>
          <w:p>
            <w:pPr>
              <w:jc w:val="center"/>
              <w:rPr>
                <w:sz w:val="24"/>
                <w:szCs w:val="24"/>
              </w:rPr>
            </w:pPr>
            <w:r>
              <w:rPr>
                <w:sz w:val="24"/>
                <w:szCs w:val="24"/>
              </w:rPr>
              <w:t xml:space="preserve">Базовое шасси: ГАЗ-</w:t>
            </w:r>
            <w:r>
              <w:rPr>
                <w:sz w:val="22"/>
                <w:szCs w:val="22"/>
                <w:lang w:val="ru-RU"/>
              </w:rPr>
              <w:t xml:space="preserve">C42A43</w:t>
            </w:r>
            <w:r>
              <w:rPr>
                <w:sz w:val="24"/>
                <w:szCs w:val="24"/>
              </w:rPr>
              <w:t xml:space="preserve"> «Садко NEXT»</w:t>
            </w:r>
            <w:r>
              <w:rPr>
                <w:sz w:val="24"/>
                <w:szCs w:val="24"/>
              </w:rPr>
            </w:r>
          </w:p>
        </w:tc>
      </w:tr>
      <w:tr>
        <w:tblPrEx/>
        <w:trPr>
          <w:jc w:val="center"/>
          <w:trHeight w:val="113"/>
        </w:trPr>
        <w:tc>
          <w:tcPr>
            <w:gridSpan w:val="3"/>
            <w:tcW w:w="10485" w:type="dxa"/>
            <w:textDirection w:val="lrTb"/>
            <w:noWrap w:val="false"/>
          </w:tcPr>
          <w:p>
            <w:pPr>
              <w:jc w:val="center"/>
              <w:rPr>
                <w:sz w:val="24"/>
                <w:szCs w:val="24"/>
              </w:rPr>
            </w:pPr>
            <w:r>
              <w:rPr>
                <w:sz w:val="24"/>
                <w:szCs w:val="24"/>
              </w:rPr>
              <w:t xml:space="preserve">Колёсная формула: 4х4, односкатная задняя шиновка</w:t>
            </w:r>
            <w:r>
              <w:rPr>
                <w:sz w:val="24"/>
                <w:szCs w:val="24"/>
              </w:rPr>
            </w:r>
          </w:p>
        </w:tc>
      </w:tr>
      <w:tr>
        <w:tblPrEx/>
        <w:trPr>
          <w:jc w:val="center"/>
          <w:trHeight w:val="112"/>
        </w:trPr>
        <w:tc>
          <w:tcPr>
            <w:gridSpan w:val="3"/>
            <w:tcW w:w="10485" w:type="dxa"/>
            <w:textDirection w:val="lrTb"/>
            <w:noWrap w:val="false"/>
          </w:tcPr>
          <w:p>
            <w:pPr>
              <w:jc w:val="center"/>
              <w:rPr>
                <w:sz w:val="24"/>
                <w:szCs w:val="24"/>
              </w:rPr>
            </w:pPr>
            <w:r>
              <w:rPr>
                <w:sz w:val="24"/>
                <w:szCs w:val="24"/>
              </w:rPr>
              <w:t xml:space="preserve">Число мест (водитель+пассажиры): 1+6, двухрядная ка</w:t>
            </w:r>
            <w:r>
              <w:rPr>
                <w:sz w:val="24"/>
                <w:szCs w:val="24"/>
              </w:rPr>
              <w:t xml:space="preserve">бина</w:t>
            </w:r>
            <w:r>
              <w:rPr>
                <w:sz w:val="24"/>
                <w:szCs w:val="24"/>
              </w:rPr>
            </w:r>
          </w:p>
        </w:tc>
      </w:tr>
      <w:tr>
        <w:tblPrEx/>
        <w:trPr>
          <w:jc w:val="center"/>
        </w:trPr>
        <w:tc>
          <w:tcPr>
            <w:gridSpan w:val="3"/>
            <w:tcW w:w="10485" w:type="dxa"/>
            <w:textDirection w:val="lrTb"/>
            <w:noWrap w:val="false"/>
          </w:tcPr>
          <w:p>
            <w:pPr>
              <w:jc w:val="center"/>
              <w:rPr>
                <w:b/>
                <w:sz w:val="24"/>
                <w:szCs w:val="24"/>
              </w:rPr>
            </w:pPr>
            <w:r>
              <w:rPr>
                <w:b/>
                <w:sz w:val="24"/>
                <w:szCs w:val="24"/>
              </w:rPr>
              <w:t xml:space="preserve">Двигатель</w:t>
            </w:r>
            <w:r>
              <w:rPr>
                <w:b/>
                <w:sz w:val="24"/>
                <w:szCs w:val="24"/>
              </w:rPr>
            </w:r>
          </w:p>
        </w:tc>
      </w:tr>
      <w:tr>
        <w:tblPrEx/>
        <w:trPr>
          <w:jc w:val="center"/>
        </w:trPr>
        <w:tc>
          <w:tcPr>
            <w:tcW w:w="3397" w:type="dxa"/>
            <w:textDirection w:val="lrTb"/>
            <w:noWrap w:val="false"/>
          </w:tcPr>
          <w:p>
            <w:pPr>
              <w:rPr>
                <w:sz w:val="24"/>
                <w:szCs w:val="24"/>
              </w:rPr>
            </w:pPr>
            <w:r>
              <w:rPr>
                <w:sz w:val="24"/>
                <w:szCs w:val="24"/>
              </w:rPr>
              <w:t xml:space="preserve">Тип</w:t>
            </w:r>
            <w:r>
              <w:rPr>
                <w:sz w:val="24"/>
                <w:szCs w:val="24"/>
              </w:rPr>
            </w:r>
          </w:p>
        </w:tc>
        <w:tc>
          <w:tcPr>
            <w:tcW w:w="3402" w:type="dxa"/>
            <w:textDirection w:val="lrTb"/>
            <w:noWrap w:val="false"/>
          </w:tcPr>
          <w:p>
            <w:pPr>
              <w:rPr>
                <w:sz w:val="24"/>
                <w:szCs w:val="24"/>
              </w:rPr>
            </w:pPr>
            <w:r>
              <w:rPr>
                <w:sz w:val="24"/>
                <w:szCs w:val="24"/>
              </w:rPr>
              <w:t xml:space="preserve">Дизельный</w:t>
            </w:r>
            <w:r>
              <w:rPr>
                <w:sz w:val="24"/>
                <w:szCs w:val="24"/>
              </w:rPr>
            </w:r>
          </w:p>
        </w:tc>
        <w:tc>
          <w:tcPr>
            <w:tcW w:w="3686" w:type="dxa"/>
            <w:textDirection w:val="lrTb"/>
            <w:noWrap w:val="false"/>
          </w:tcPr>
          <w:p>
            <w:pPr>
              <w:rPr>
                <w:sz w:val="24"/>
                <w:szCs w:val="24"/>
              </w:rPr>
            </w:pPr>
            <w:r>
              <w:rPr>
                <w:sz w:val="24"/>
                <w:szCs w:val="24"/>
              </w:rPr>
            </w:r>
            <w:r>
              <w:rPr>
                <w:sz w:val="24"/>
                <w:szCs w:val="24"/>
              </w:rPr>
            </w:r>
          </w:p>
        </w:tc>
      </w:tr>
      <w:tr>
        <w:tblPrEx/>
        <w:trPr>
          <w:jc w:val="center"/>
        </w:trPr>
        <w:tc>
          <w:tcPr>
            <w:tcW w:w="3397" w:type="dxa"/>
            <w:textDirection w:val="lrTb"/>
            <w:noWrap w:val="false"/>
          </w:tcPr>
          <w:p>
            <w:pPr>
              <w:rPr>
                <w:sz w:val="24"/>
                <w:szCs w:val="24"/>
              </w:rPr>
            </w:pPr>
            <w:r>
              <w:rPr>
                <w:sz w:val="24"/>
                <w:szCs w:val="24"/>
              </w:rPr>
              <w:t xml:space="preserve">Мощность</w:t>
            </w:r>
            <w:r>
              <w:rPr>
                <w:sz w:val="24"/>
                <w:szCs w:val="24"/>
                <w:lang w:val="ru-RU"/>
              </w:rPr>
              <w:t xml:space="preserve">, не менее</w:t>
            </w:r>
            <w:r>
              <w:rPr>
                <w:sz w:val="24"/>
                <w:szCs w:val="24"/>
              </w:rPr>
            </w:r>
          </w:p>
        </w:tc>
        <w:tc>
          <w:tcPr>
            <w:tcW w:w="3402" w:type="dxa"/>
            <w:textDirection w:val="lrTb"/>
            <w:noWrap w:val="false"/>
          </w:tcPr>
          <w:p>
            <w:pPr>
              <w:rPr>
                <w:sz w:val="24"/>
                <w:szCs w:val="24"/>
              </w:rPr>
            </w:pPr>
            <w:r>
              <w:rPr>
                <w:sz w:val="24"/>
                <w:szCs w:val="24"/>
              </w:rPr>
              <w:t xml:space="preserve">148,9 л.с.</w:t>
            </w:r>
            <w:r>
              <w:rPr>
                <w:sz w:val="24"/>
                <w:szCs w:val="24"/>
              </w:rPr>
            </w:r>
          </w:p>
        </w:tc>
        <w:tc>
          <w:tcPr>
            <w:tcW w:w="3686" w:type="dxa"/>
            <w:textDirection w:val="lrTb"/>
            <w:noWrap w:val="false"/>
          </w:tcPr>
          <w:p>
            <w:pPr>
              <w:rPr>
                <w:sz w:val="24"/>
                <w:szCs w:val="24"/>
              </w:rPr>
            </w:pPr>
            <w:r>
              <w:rPr>
                <w:sz w:val="24"/>
                <w:szCs w:val="24"/>
              </w:rPr>
            </w:r>
            <w:r>
              <w:rPr>
                <w:sz w:val="24"/>
                <w:szCs w:val="24"/>
              </w:rPr>
            </w:r>
          </w:p>
        </w:tc>
      </w:tr>
      <w:tr>
        <w:tblPrEx/>
        <w:trPr>
          <w:jc w:val="center"/>
        </w:trPr>
        <w:tc>
          <w:tcPr>
            <w:tcW w:w="3397" w:type="dxa"/>
            <w:textDirection w:val="lrTb"/>
            <w:noWrap w:val="false"/>
          </w:tcPr>
          <w:p>
            <w:pPr>
              <w:rPr>
                <w:sz w:val="24"/>
                <w:szCs w:val="24"/>
              </w:rPr>
            </w:pPr>
            <w:r>
              <w:rPr>
                <w:sz w:val="24"/>
                <w:szCs w:val="24"/>
              </w:rPr>
              <w:t xml:space="preserve">Рабочий объём</w:t>
            </w:r>
            <w:r>
              <w:rPr>
                <w:sz w:val="24"/>
                <w:szCs w:val="24"/>
              </w:rPr>
            </w:r>
          </w:p>
        </w:tc>
        <w:tc>
          <w:tcPr>
            <w:tcW w:w="3402" w:type="dxa"/>
            <w:textDirection w:val="lrTb"/>
            <w:noWrap w:val="false"/>
          </w:tcPr>
          <w:p>
            <w:pPr>
              <w:rPr>
                <w:sz w:val="24"/>
                <w:szCs w:val="24"/>
              </w:rPr>
            </w:pPr>
            <w:r>
              <w:rPr>
                <w:sz w:val="24"/>
                <w:szCs w:val="24"/>
              </w:rPr>
              <w:t xml:space="preserve">4433 куб.см.</w:t>
            </w:r>
            <w:r>
              <w:rPr>
                <w:sz w:val="24"/>
                <w:szCs w:val="24"/>
              </w:rPr>
            </w:r>
          </w:p>
        </w:tc>
        <w:tc>
          <w:tcPr>
            <w:tcW w:w="3686" w:type="dxa"/>
            <w:textDirection w:val="lrTb"/>
            <w:noWrap w:val="false"/>
          </w:tcPr>
          <w:p>
            <w:pPr>
              <w:rPr>
                <w:sz w:val="24"/>
                <w:szCs w:val="24"/>
              </w:rPr>
            </w:pPr>
            <w:r>
              <w:rPr>
                <w:sz w:val="24"/>
                <w:szCs w:val="24"/>
              </w:rPr>
            </w:r>
            <w:r>
              <w:rPr>
                <w:sz w:val="24"/>
                <w:szCs w:val="24"/>
              </w:rPr>
            </w:r>
          </w:p>
        </w:tc>
      </w:tr>
      <w:tr>
        <w:tblPrEx/>
        <w:trPr>
          <w:jc w:val="center"/>
          <w:trHeight w:val="94"/>
        </w:trPr>
        <w:tc>
          <w:tcPr>
            <w:gridSpan w:val="3"/>
            <w:tcW w:w="10485" w:type="dxa"/>
            <w:textDirection w:val="lrTb"/>
            <w:noWrap w:val="false"/>
          </w:tcPr>
          <w:p>
            <w:pPr>
              <w:jc w:val="center"/>
              <w:rPr>
                <w:b/>
                <w:sz w:val="24"/>
                <w:szCs w:val="24"/>
              </w:rPr>
            </w:pPr>
            <w:r>
              <w:rPr>
                <w:b/>
                <w:sz w:val="24"/>
                <w:szCs w:val="24"/>
              </w:rPr>
              <w:t xml:space="preserve">Размеры, мм</w:t>
            </w:r>
            <w:r>
              <w:rPr>
                <w:b/>
                <w:sz w:val="24"/>
                <w:szCs w:val="24"/>
              </w:rPr>
            </w:r>
          </w:p>
        </w:tc>
      </w:tr>
      <w:tr>
        <w:tblPrEx/>
        <w:trPr>
          <w:jc w:val="center"/>
        </w:trPr>
        <w:tc>
          <w:tcPr>
            <w:tcW w:w="3397" w:type="dxa"/>
            <w:textDirection w:val="lrTb"/>
            <w:noWrap w:val="false"/>
          </w:tcPr>
          <w:p>
            <w:pPr>
              <w:rPr>
                <w:sz w:val="24"/>
                <w:szCs w:val="24"/>
              </w:rPr>
            </w:pPr>
            <w:r>
              <w:rPr>
                <w:sz w:val="24"/>
                <w:szCs w:val="24"/>
              </w:rPr>
              <w:t xml:space="preserve">База</w:t>
            </w:r>
            <w:r>
              <w:rPr>
                <w:sz w:val="24"/>
                <w:szCs w:val="24"/>
              </w:rPr>
            </w:r>
          </w:p>
        </w:tc>
        <w:tc>
          <w:tcPr>
            <w:tcW w:w="3402" w:type="dxa"/>
            <w:textDirection w:val="lrTb"/>
            <w:noWrap w:val="false"/>
          </w:tcPr>
          <w:p>
            <w:pPr>
              <w:rPr>
                <w:sz w:val="24"/>
                <w:szCs w:val="24"/>
              </w:rPr>
            </w:pPr>
            <w:r>
              <w:rPr>
                <w:sz w:val="24"/>
                <w:szCs w:val="24"/>
              </w:rPr>
              <w:t xml:space="preserve">4515</w:t>
            </w:r>
            <w:r>
              <w:rPr>
                <w:sz w:val="24"/>
                <w:szCs w:val="24"/>
              </w:rPr>
            </w:r>
          </w:p>
        </w:tc>
        <w:tc>
          <w:tcPr>
            <w:tcW w:w="3686" w:type="dxa"/>
            <w:textDirection w:val="lrTb"/>
            <w:noWrap w:val="false"/>
          </w:tcPr>
          <w:p>
            <w:pPr>
              <w:rPr>
                <w:sz w:val="24"/>
                <w:szCs w:val="24"/>
              </w:rPr>
            </w:pPr>
            <w:r>
              <w:rPr>
                <w:sz w:val="24"/>
                <w:szCs w:val="24"/>
              </w:rPr>
            </w:r>
            <w:r>
              <w:rPr>
                <w:sz w:val="24"/>
                <w:szCs w:val="24"/>
              </w:rPr>
            </w:r>
          </w:p>
        </w:tc>
      </w:tr>
      <w:tr>
        <w:tblPrEx/>
        <w:trPr>
          <w:jc w:val="center"/>
        </w:trPr>
        <w:tc>
          <w:tcPr>
            <w:tcW w:w="3397" w:type="dxa"/>
            <w:textDirection w:val="lrTb"/>
            <w:noWrap w:val="false"/>
          </w:tcPr>
          <w:p>
            <w:pPr>
              <w:rPr>
                <w:sz w:val="24"/>
                <w:szCs w:val="24"/>
              </w:rPr>
            </w:pPr>
            <w:r>
              <w:rPr>
                <w:sz w:val="24"/>
                <w:szCs w:val="24"/>
              </w:rPr>
              <w:t xml:space="preserve">Колея передних колёс</w:t>
            </w:r>
            <w:r>
              <w:rPr>
                <w:sz w:val="24"/>
                <w:szCs w:val="24"/>
              </w:rPr>
            </w:r>
          </w:p>
        </w:tc>
        <w:tc>
          <w:tcPr>
            <w:tcW w:w="3402" w:type="dxa"/>
            <w:textDirection w:val="lrTb"/>
            <w:noWrap w:val="false"/>
          </w:tcPr>
          <w:p>
            <w:pPr>
              <w:rPr>
                <w:sz w:val="24"/>
                <w:szCs w:val="24"/>
              </w:rPr>
            </w:pPr>
            <w:r>
              <w:rPr>
                <w:sz w:val="24"/>
                <w:szCs w:val="24"/>
              </w:rPr>
              <w:t xml:space="preserve">1820</w:t>
            </w:r>
            <w:r>
              <w:rPr>
                <w:sz w:val="24"/>
                <w:szCs w:val="24"/>
              </w:rPr>
            </w:r>
          </w:p>
        </w:tc>
        <w:tc>
          <w:tcPr>
            <w:tcW w:w="3686" w:type="dxa"/>
            <w:textDirection w:val="lrTb"/>
            <w:noWrap w:val="false"/>
          </w:tcPr>
          <w:p>
            <w:pPr>
              <w:rPr>
                <w:sz w:val="24"/>
                <w:szCs w:val="24"/>
              </w:rPr>
            </w:pPr>
            <w:r>
              <w:rPr>
                <w:sz w:val="24"/>
                <w:szCs w:val="24"/>
              </w:rPr>
            </w:r>
            <w:r>
              <w:rPr>
                <w:sz w:val="24"/>
                <w:szCs w:val="24"/>
              </w:rPr>
            </w:r>
          </w:p>
        </w:tc>
      </w:tr>
      <w:tr>
        <w:tblPrEx/>
        <w:trPr>
          <w:jc w:val="center"/>
        </w:trPr>
        <w:tc>
          <w:tcPr>
            <w:tcW w:w="3397" w:type="dxa"/>
            <w:textDirection w:val="lrTb"/>
            <w:noWrap w:val="false"/>
          </w:tcPr>
          <w:p>
            <w:pPr>
              <w:rPr>
                <w:sz w:val="24"/>
                <w:szCs w:val="24"/>
              </w:rPr>
            </w:pPr>
            <w:r>
              <w:rPr>
                <w:sz w:val="24"/>
                <w:szCs w:val="24"/>
              </w:rPr>
              <w:t xml:space="preserve">Колея задних колёс</w:t>
            </w:r>
            <w:r>
              <w:rPr>
                <w:sz w:val="24"/>
                <w:szCs w:val="24"/>
              </w:rPr>
            </w:r>
          </w:p>
        </w:tc>
        <w:tc>
          <w:tcPr>
            <w:tcW w:w="3402" w:type="dxa"/>
            <w:textDirection w:val="lrTb"/>
            <w:noWrap w:val="false"/>
          </w:tcPr>
          <w:p>
            <w:pPr>
              <w:rPr>
                <w:sz w:val="24"/>
                <w:szCs w:val="24"/>
              </w:rPr>
            </w:pPr>
            <w:r>
              <w:rPr>
                <w:sz w:val="24"/>
                <w:szCs w:val="24"/>
              </w:rPr>
              <w:t xml:space="preserve">1770</w:t>
            </w:r>
            <w:r>
              <w:rPr>
                <w:sz w:val="24"/>
                <w:szCs w:val="24"/>
              </w:rPr>
            </w:r>
          </w:p>
        </w:tc>
        <w:tc>
          <w:tcPr>
            <w:tcW w:w="3686" w:type="dxa"/>
            <w:textDirection w:val="lrTb"/>
            <w:noWrap w:val="false"/>
          </w:tcPr>
          <w:p>
            <w:pPr>
              <w:rPr>
                <w:sz w:val="24"/>
                <w:szCs w:val="24"/>
              </w:rPr>
            </w:pPr>
            <w:r>
              <w:rPr>
                <w:sz w:val="24"/>
                <w:szCs w:val="24"/>
              </w:rPr>
            </w:r>
            <w:r>
              <w:rPr>
                <w:sz w:val="24"/>
                <w:szCs w:val="24"/>
              </w:rPr>
            </w:r>
          </w:p>
        </w:tc>
      </w:tr>
      <w:tr>
        <w:tblPrEx/>
        <w:trPr>
          <w:jc w:val="center"/>
          <w:trHeight w:val="94"/>
        </w:trPr>
        <w:tc>
          <w:tcPr>
            <w:gridSpan w:val="3"/>
            <w:tcW w:w="10485" w:type="dxa"/>
            <w:textDirection w:val="lrTb"/>
            <w:noWrap w:val="false"/>
          </w:tcPr>
          <w:p>
            <w:pPr>
              <w:jc w:val="center"/>
              <w:rPr>
                <w:b/>
                <w:sz w:val="24"/>
                <w:szCs w:val="24"/>
              </w:rPr>
            </w:pPr>
            <w:r>
              <w:rPr>
                <w:b/>
                <w:sz w:val="24"/>
                <w:szCs w:val="24"/>
              </w:rPr>
            </w:r>
            <w:r>
              <w:rPr>
                <w:b/>
                <w:sz w:val="24"/>
                <w:szCs w:val="24"/>
              </w:rPr>
            </w:r>
          </w:p>
        </w:tc>
      </w:tr>
      <w:tr>
        <w:tblPrEx/>
        <w:trPr>
          <w:jc w:val="center"/>
        </w:trPr>
        <w:tc>
          <w:tcPr>
            <w:tcW w:w="3397" w:type="dxa"/>
            <w:textDirection w:val="lrTb"/>
            <w:noWrap w:val="false"/>
          </w:tcPr>
          <w:p>
            <w:pPr>
              <w:rPr>
                <w:sz w:val="24"/>
                <w:szCs w:val="24"/>
              </w:rPr>
            </w:pPr>
            <w:r>
              <w:rPr>
                <w:sz w:val="24"/>
                <w:szCs w:val="24"/>
              </w:rPr>
              <w:t xml:space="preserve">Максимальная технически допустимая</w:t>
            </w:r>
            <w:r>
              <w:rPr>
                <w:sz w:val="24"/>
                <w:szCs w:val="24"/>
              </w:rPr>
            </w:r>
          </w:p>
        </w:tc>
        <w:tc>
          <w:tcPr>
            <w:tcW w:w="3402" w:type="dxa"/>
            <w:textDirection w:val="lrTb"/>
            <w:noWrap w:val="false"/>
          </w:tcPr>
          <w:p>
            <w:pPr>
              <w:rPr>
                <w:sz w:val="24"/>
                <w:szCs w:val="24"/>
              </w:rPr>
            </w:pPr>
            <w:r>
              <w:rPr>
                <w:sz w:val="24"/>
                <w:szCs w:val="24"/>
              </w:rPr>
              <w:t xml:space="preserve">6850</w:t>
            </w:r>
            <w:r>
              <w:rPr>
                <w:sz w:val="24"/>
                <w:szCs w:val="24"/>
              </w:rPr>
            </w:r>
          </w:p>
        </w:tc>
        <w:tc>
          <w:tcPr>
            <w:tcW w:w="3686" w:type="dxa"/>
            <w:textDirection w:val="lrTb"/>
            <w:noWrap w:val="false"/>
          </w:tcPr>
          <w:p>
            <w:pPr>
              <w:rPr>
                <w:sz w:val="24"/>
                <w:szCs w:val="24"/>
              </w:rPr>
            </w:pPr>
            <w:r>
              <w:rPr>
                <w:sz w:val="24"/>
                <w:szCs w:val="24"/>
              </w:rPr>
            </w:r>
            <w:r>
              <w:rPr>
                <w:sz w:val="24"/>
                <w:szCs w:val="24"/>
              </w:rPr>
            </w:r>
          </w:p>
        </w:tc>
      </w:tr>
      <w:tr>
        <w:tblPrEx/>
        <w:trPr>
          <w:jc w:val="center"/>
        </w:trPr>
        <w:tc>
          <w:tcPr>
            <w:gridSpan w:val="3"/>
            <w:tcW w:w="10485" w:type="dxa"/>
            <w:textDirection w:val="lrTb"/>
            <w:noWrap w:val="false"/>
          </w:tcPr>
          <w:p>
            <w:pPr>
              <w:jc w:val="center"/>
              <w:rPr>
                <w:b/>
                <w:sz w:val="24"/>
                <w:szCs w:val="24"/>
              </w:rPr>
            </w:pPr>
            <w:r>
              <w:rPr>
                <w:b/>
                <w:sz w:val="24"/>
                <w:szCs w:val="24"/>
              </w:rPr>
              <w:t xml:space="preserve">Прочие характеристики</w:t>
            </w:r>
            <w:r>
              <w:rPr>
                <w:b/>
                <w:sz w:val="24"/>
                <w:szCs w:val="24"/>
              </w:rPr>
            </w:r>
          </w:p>
        </w:tc>
      </w:tr>
      <w:tr>
        <w:tblPrEx/>
        <w:trPr>
          <w:jc w:val="center"/>
        </w:trPr>
        <w:tc>
          <w:tcPr>
            <w:tcW w:w="3397" w:type="dxa"/>
            <w:textDirection w:val="lrTb"/>
            <w:noWrap w:val="false"/>
          </w:tcPr>
          <w:p>
            <w:pPr>
              <w:rPr>
                <w:sz w:val="24"/>
                <w:szCs w:val="24"/>
              </w:rPr>
            </w:pPr>
            <w:r>
              <w:rPr>
                <w:sz w:val="24"/>
                <w:szCs w:val="24"/>
              </w:rPr>
              <w:t xml:space="preserve">ГУР</w:t>
            </w:r>
            <w:r>
              <w:rPr>
                <w:sz w:val="24"/>
                <w:szCs w:val="24"/>
              </w:rPr>
            </w:r>
          </w:p>
        </w:tc>
        <w:tc>
          <w:tcPr>
            <w:tcW w:w="3402" w:type="dxa"/>
            <w:textDirection w:val="lrTb"/>
            <w:noWrap w:val="false"/>
          </w:tcPr>
          <w:p>
            <w:pPr>
              <w:rPr>
                <w:sz w:val="24"/>
                <w:szCs w:val="24"/>
              </w:rPr>
            </w:pPr>
            <w:r>
              <w:rPr>
                <w:sz w:val="24"/>
                <w:szCs w:val="24"/>
              </w:rPr>
              <w:t xml:space="preserve">Наличие</w:t>
            </w:r>
            <w:r>
              <w:rPr>
                <w:sz w:val="24"/>
                <w:szCs w:val="24"/>
              </w:rPr>
            </w:r>
          </w:p>
        </w:tc>
        <w:tc>
          <w:tcPr>
            <w:tcW w:w="3686" w:type="dxa"/>
            <w:textDirection w:val="lrTb"/>
            <w:noWrap w:val="false"/>
          </w:tcPr>
          <w:p>
            <w:pPr>
              <w:rPr>
                <w:sz w:val="24"/>
                <w:szCs w:val="24"/>
              </w:rPr>
            </w:pPr>
            <w:r>
              <w:rPr>
                <w:sz w:val="24"/>
                <w:szCs w:val="24"/>
              </w:rPr>
            </w:r>
            <w:r>
              <w:rPr>
                <w:sz w:val="24"/>
                <w:szCs w:val="24"/>
              </w:rPr>
            </w:r>
          </w:p>
        </w:tc>
      </w:tr>
      <w:tr>
        <w:tblPrEx/>
        <w:trPr>
          <w:jc w:val="center"/>
        </w:trPr>
        <w:tc>
          <w:tcPr>
            <w:tcW w:w="3397" w:type="dxa"/>
            <w:textDirection w:val="lrTb"/>
            <w:noWrap w:val="false"/>
          </w:tcPr>
          <w:p>
            <w:pPr>
              <w:rPr>
                <w:sz w:val="24"/>
                <w:szCs w:val="24"/>
              </w:rPr>
            </w:pPr>
            <w:r>
              <w:rPr>
                <w:sz w:val="24"/>
                <w:szCs w:val="24"/>
              </w:rPr>
              <w:t xml:space="preserve">АБС</w:t>
            </w:r>
            <w:r>
              <w:rPr>
                <w:sz w:val="24"/>
                <w:szCs w:val="24"/>
              </w:rPr>
            </w:r>
          </w:p>
        </w:tc>
        <w:tc>
          <w:tcPr>
            <w:tcW w:w="3402" w:type="dxa"/>
            <w:textDirection w:val="lrTb"/>
            <w:noWrap w:val="false"/>
          </w:tcPr>
          <w:p>
            <w:pPr>
              <w:rPr>
                <w:sz w:val="24"/>
                <w:szCs w:val="24"/>
              </w:rPr>
            </w:pPr>
            <w:r>
              <w:rPr>
                <w:sz w:val="24"/>
                <w:szCs w:val="24"/>
              </w:rPr>
              <w:t xml:space="preserve">Наличие</w:t>
            </w:r>
            <w:r>
              <w:rPr>
                <w:sz w:val="24"/>
                <w:szCs w:val="24"/>
              </w:rPr>
            </w:r>
          </w:p>
        </w:tc>
        <w:tc>
          <w:tcPr>
            <w:tcW w:w="3686" w:type="dxa"/>
            <w:textDirection w:val="lrTb"/>
            <w:noWrap w:val="false"/>
          </w:tcPr>
          <w:p>
            <w:pPr>
              <w:rPr>
                <w:sz w:val="24"/>
                <w:szCs w:val="24"/>
              </w:rPr>
            </w:pPr>
            <w:r>
              <w:rPr>
                <w:sz w:val="24"/>
                <w:szCs w:val="24"/>
              </w:rPr>
            </w:r>
            <w:r>
              <w:rPr>
                <w:sz w:val="24"/>
                <w:szCs w:val="24"/>
              </w:rPr>
            </w:r>
          </w:p>
        </w:tc>
      </w:tr>
      <w:tr>
        <w:tblPrEx/>
        <w:trPr>
          <w:jc w:val="center"/>
        </w:trPr>
        <w:tc>
          <w:tcPr>
            <w:tcW w:w="3397" w:type="dxa"/>
            <w:textDirection w:val="lrTb"/>
            <w:noWrap w:val="false"/>
          </w:tcPr>
          <w:p>
            <w:pPr>
              <w:rPr>
                <w:sz w:val="24"/>
                <w:szCs w:val="24"/>
              </w:rPr>
            </w:pPr>
            <w:r>
              <w:rPr>
                <w:sz w:val="24"/>
                <w:szCs w:val="24"/>
              </w:rPr>
              <w:t xml:space="preserve">КПП</w:t>
            </w:r>
            <w:r>
              <w:rPr>
                <w:sz w:val="24"/>
                <w:szCs w:val="24"/>
              </w:rPr>
            </w:r>
          </w:p>
        </w:tc>
        <w:tc>
          <w:tcPr>
            <w:tcW w:w="3402" w:type="dxa"/>
            <w:textDirection w:val="lrTb"/>
            <w:noWrap w:val="false"/>
          </w:tcPr>
          <w:p>
            <w:pPr>
              <w:rPr>
                <w:sz w:val="24"/>
                <w:szCs w:val="24"/>
              </w:rPr>
            </w:pPr>
            <w:r>
              <w:rPr>
                <w:sz w:val="24"/>
                <w:szCs w:val="24"/>
              </w:rPr>
              <w:t xml:space="preserve">Механическая, 5-ти ступенчатая</w:t>
            </w:r>
            <w:r>
              <w:rPr>
                <w:sz w:val="24"/>
                <w:szCs w:val="24"/>
              </w:rPr>
            </w:r>
          </w:p>
        </w:tc>
        <w:tc>
          <w:tcPr>
            <w:tcW w:w="3686" w:type="dxa"/>
            <w:textDirection w:val="lrTb"/>
            <w:noWrap w:val="false"/>
          </w:tcPr>
          <w:p>
            <w:pPr>
              <w:rPr>
                <w:sz w:val="24"/>
                <w:szCs w:val="24"/>
              </w:rPr>
            </w:pPr>
            <w:r>
              <w:rPr>
                <w:sz w:val="24"/>
                <w:szCs w:val="24"/>
              </w:rPr>
            </w:r>
            <w:r>
              <w:rPr>
                <w:sz w:val="24"/>
                <w:szCs w:val="24"/>
              </w:rPr>
            </w:r>
          </w:p>
        </w:tc>
      </w:tr>
      <w:tr>
        <w:tblPrEx/>
        <w:trPr>
          <w:jc w:val="center"/>
          <w:trHeight w:val="517"/>
        </w:trPr>
        <w:tc>
          <w:tcPr>
            <w:tcW w:w="3397" w:type="dxa"/>
            <w:vMerge w:val="restart"/>
            <w:textDirection w:val="lrTb"/>
            <w:noWrap w:val="false"/>
          </w:tcPr>
          <w:p>
            <w:pPr>
              <w:rPr>
                <w:color w:val="000000"/>
                <w:sz w:val="24"/>
                <w:szCs w:val="24"/>
                <w:lang w:val="ru-RU"/>
              </w:rPr>
            </w:pPr>
            <w:r>
              <w:rPr>
                <w:color w:val="000000"/>
                <w:sz w:val="24"/>
                <w:szCs w:val="24"/>
                <w:lang w:val="ru-RU"/>
              </w:rPr>
              <w:t xml:space="preserve">Цвет кабины</w:t>
            </w:r>
            <w:r>
              <w:rPr>
                <w:color w:val="000000"/>
                <w:sz w:val="24"/>
                <w:szCs w:val="24"/>
                <w:lang w:val="ru-RU"/>
              </w:rPr>
            </w:r>
          </w:p>
        </w:tc>
        <w:tc>
          <w:tcPr>
            <w:tcW w:w="3402" w:type="dxa"/>
            <w:vMerge w:val="restart"/>
            <w:textDirection w:val="lrTb"/>
            <w:noWrap w:val="false"/>
          </w:tcPr>
          <w:p>
            <w:pPr>
              <w:rPr>
                <w:color w:val="000000"/>
                <w:sz w:val="24"/>
                <w:szCs w:val="24"/>
                <w:lang w:val="ru-RU"/>
              </w:rPr>
            </w:pPr>
            <w:r>
              <w:rPr>
                <w:color w:val="000000"/>
                <w:sz w:val="24"/>
                <w:szCs w:val="24"/>
                <w:lang w:val="ru-RU"/>
              </w:rPr>
              <w:t xml:space="preserve">Белый</w:t>
            </w:r>
            <w:r>
              <w:rPr>
                <w:color w:val="000000"/>
                <w:sz w:val="24"/>
                <w:szCs w:val="24"/>
                <w:lang w:val="ru-RU"/>
              </w:rPr>
            </w:r>
          </w:p>
        </w:tc>
        <w:tc>
          <w:tcPr>
            <w:tcW w:w="3686" w:type="dxa"/>
            <w:vMerge w:val="restart"/>
            <w:textDirection w:val="lrTb"/>
            <w:noWrap w:val="false"/>
          </w:tcPr>
          <w:p>
            <w:r/>
            <w:r/>
          </w:p>
        </w:tc>
      </w:tr>
      <w:tr>
        <w:tblPrEx/>
        <w:trPr>
          <w:jc w:val="center"/>
        </w:trPr>
        <w:tc>
          <w:tcPr>
            <w:gridSpan w:val="3"/>
            <w:tcW w:w="10485" w:type="dxa"/>
            <w:textDirection w:val="lrTb"/>
            <w:noWrap w:val="false"/>
          </w:tcPr>
          <w:p>
            <w:pPr>
              <w:jc w:val="center"/>
              <w:rPr>
                <w:b/>
                <w:sz w:val="24"/>
                <w:szCs w:val="24"/>
              </w:rPr>
            </w:pPr>
            <w:r>
              <w:rPr>
                <w:b/>
                <w:sz w:val="24"/>
                <w:szCs w:val="24"/>
              </w:rPr>
              <w:t xml:space="preserve">Параметры надстройки</w:t>
            </w:r>
            <w:r>
              <w:rPr>
                <w:b/>
                <w:sz w:val="24"/>
                <w:szCs w:val="24"/>
              </w:rPr>
            </w:r>
          </w:p>
        </w:tc>
      </w:tr>
      <w:tr>
        <w:tblPrEx/>
        <w:trPr>
          <w:jc w:val="center"/>
          <w:trHeight w:val="122"/>
        </w:trPr>
        <w:tc>
          <w:tcPr>
            <w:tcW w:w="3397" w:type="dxa"/>
            <w:vAlign w:val="center"/>
            <w:textDirection w:val="lrTb"/>
            <w:noWrap w:val="false"/>
          </w:tcPr>
          <w:p>
            <w:pPr>
              <w:rPr>
                <w:sz w:val="24"/>
                <w:szCs w:val="24"/>
              </w:rPr>
            </w:pPr>
            <w:r>
              <w:rPr>
                <w:sz w:val="24"/>
                <w:szCs w:val="24"/>
              </w:rPr>
              <w:t xml:space="preserve">Тип</w:t>
            </w:r>
            <w:r>
              <w:t xml:space="preserve"> </w:t>
            </w:r>
            <w:r>
              <w:rPr>
                <w:sz w:val="24"/>
                <w:szCs w:val="24"/>
              </w:rPr>
              <w:t xml:space="preserve">стрелы</w:t>
            </w:r>
            <w:r>
              <w:rPr>
                <w:sz w:val="24"/>
                <w:szCs w:val="24"/>
              </w:rPr>
            </w:r>
          </w:p>
        </w:tc>
        <w:tc>
          <w:tcPr>
            <w:tcW w:w="3402" w:type="dxa"/>
            <w:textDirection w:val="lrTb"/>
            <w:noWrap w:val="false"/>
          </w:tcPr>
          <w:p>
            <w:pPr>
              <w:rPr>
                <w:sz w:val="24"/>
                <w:szCs w:val="24"/>
              </w:rPr>
            </w:pPr>
            <w:r>
              <w:rPr>
                <w:sz w:val="24"/>
                <w:szCs w:val="24"/>
              </w:rPr>
              <w:t xml:space="preserve">Телескопическая цельнометаллическая коробчатого сечения, шестигранная</w:t>
            </w:r>
            <w:r>
              <w:rPr>
                <w:sz w:val="24"/>
                <w:szCs w:val="24"/>
              </w:rPr>
            </w:r>
          </w:p>
        </w:tc>
        <w:tc>
          <w:tcPr>
            <w:tcW w:w="3686" w:type="dxa"/>
            <w:textDirection w:val="lrTb"/>
            <w:noWrap w:val="false"/>
          </w:tcPr>
          <w:p>
            <w:pPr>
              <w:rPr>
                <w:sz w:val="24"/>
                <w:szCs w:val="24"/>
              </w:rPr>
            </w:pPr>
            <w:r>
              <w:rPr>
                <w:sz w:val="24"/>
                <w:szCs w:val="24"/>
              </w:rPr>
            </w:r>
            <w:r>
              <w:rPr>
                <w:sz w:val="24"/>
                <w:szCs w:val="24"/>
              </w:rPr>
            </w:r>
          </w:p>
        </w:tc>
      </w:tr>
      <w:tr>
        <w:tblPrEx/>
        <w:trPr>
          <w:jc w:val="center"/>
          <w:trHeight w:val="122"/>
        </w:trPr>
        <w:tc>
          <w:tcPr>
            <w:tcW w:w="3397" w:type="dxa"/>
            <w:vAlign w:val="center"/>
            <w:textDirection w:val="lrTb"/>
            <w:noWrap w:val="false"/>
          </w:tcPr>
          <w:p>
            <w:pPr>
              <w:rPr>
                <w:sz w:val="24"/>
                <w:szCs w:val="24"/>
              </w:rPr>
            </w:pPr>
            <w:r>
              <w:rPr>
                <w:sz w:val="24"/>
                <w:szCs w:val="24"/>
              </w:rPr>
              <w:t xml:space="preserve">Материал люльки </w:t>
            </w:r>
            <w:r>
              <w:rPr>
                <w:sz w:val="24"/>
                <w:szCs w:val="24"/>
              </w:rPr>
            </w:r>
          </w:p>
        </w:tc>
        <w:tc>
          <w:tcPr>
            <w:tcW w:w="3402" w:type="dxa"/>
            <w:textDirection w:val="lrTb"/>
            <w:noWrap w:val="false"/>
          </w:tcPr>
          <w:p>
            <w:pPr>
              <w:rPr>
                <w:sz w:val="24"/>
                <w:szCs w:val="24"/>
              </w:rPr>
            </w:pPr>
            <w:r>
              <w:rPr>
                <w:sz w:val="24"/>
                <w:szCs w:val="24"/>
              </w:rPr>
              <w:t xml:space="preserve">Сталь</w:t>
            </w:r>
            <w:r>
              <w:rPr>
                <w:sz w:val="24"/>
                <w:szCs w:val="24"/>
              </w:rPr>
            </w:r>
          </w:p>
        </w:tc>
        <w:tc>
          <w:tcPr>
            <w:tcW w:w="3686" w:type="dxa"/>
            <w:textDirection w:val="lrTb"/>
            <w:noWrap w:val="false"/>
          </w:tcPr>
          <w:p>
            <w:pPr>
              <w:rPr>
                <w:sz w:val="24"/>
                <w:szCs w:val="24"/>
              </w:rPr>
            </w:pPr>
            <w:r>
              <w:rPr>
                <w:sz w:val="24"/>
                <w:szCs w:val="24"/>
              </w:rPr>
            </w:r>
            <w:r>
              <w:rPr>
                <w:sz w:val="24"/>
                <w:szCs w:val="24"/>
              </w:rPr>
            </w:r>
          </w:p>
        </w:tc>
      </w:tr>
      <w:tr>
        <w:tblPrEx/>
        <w:trPr>
          <w:jc w:val="center"/>
        </w:trPr>
        <w:tc>
          <w:tcPr>
            <w:tcW w:w="3397" w:type="dxa"/>
            <w:textDirection w:val="lrTb"/>
            <w:noWrap w:val="false"/>
          </w:tcPr>
          <w:p>
            <w:pPr>
              <w:rPr>
                <w:sz w:val="24"/>
                <w:szCs w:val="24"/>
              </w:rPr>
            </w:pPr>
            <w:r>
              <w:rPr>
                <w:sz w:val="24"/>
                <w:szCs w:val="24"/>
              </w:rPr>
              <w:t xml:space="preserve">Материал пола люльки</w:t>
            </w:r>
            <w:r>
              <w:rPr>
                <w:sz w:val="24"/>
                <w:szCs w:val="24"/>
              </w:rPr>
            </w:r>
          </w:p>
        </w:tc>
        <w:tc>
          <w:tcPr>
            <w:tcW w:w="3402" w:type="dxa"/>
            <w:textDirection w:val="lrTb"/>
            <w:noWrap w:val="false"/>
          </w:tcPr>
          <w:p>
            <w:pPr>
              <w:rPr>
                <w:sz w:val="24"/>
                <w:szCs w:val="24"/>
              </w:rPr>
            </w:pPr>
            <w:r>
              <w:rPr>
                <w:sz w:val="24"/>
                <w:szCs w:val="24"/>
              </w:rPr>
              <w:t xml:space="preserve">Алюминий</w:t>
            </w:r>
            <w:r>
              <w:rPr>
                <w:sz w:val="24"/>
                <w:szCs w:val="24"/>
              </w:rPr>
            </w:r>
          </w:p>
        </w:tc>
        <w:tc>
          <w:tcPr>
            <w:tcW w:w="3686" w:type="dxa"/>
            <w:textDirection w:val="lrTb"/>
            <w:noWrap w:val="false"/>
          </w:tcPr>
          <w:p>
            <w:pPr>
              <w:rPr>
                <w:sz w:val="24"/>
                <w:szCs w:val="24"/>
                <w:highlight w:val="yellow"/>
              </w:rPr>
            </w:pPr>
            <w:r>
              <w:rPr>
                <w:sz w:val="24"/>
                <w:szCs w:val="24"/>
                <w:highlight w:val="yellow"/>
              </w:rPr>
            </w:r>
            <w:r>
              <w:rPr>
                <w:sz w:val="24"/>
                <w:szCs w:val="24"/>
                <w:highlight w:val="yellow"/>
              </w:rPr>
            </w:r>
          </w:p>
        </w:tc>
      </w:tr>
      <w:tr>
        <w:tblPrEx/>
        <w:trPr>
          <w:jc w:val="center"/>
        </w:trPr>
        <w:tc>
          <w:tcPr>
            <w:tcW w:w="3397" w:type="dxa"/>
            <w:textDirection w:val="lrTb"/>
            <w:noWrap w:val="false"/>
          </w:tcPr>
          <w:p>
            <w:pPr>
              <w:rPr>
                <w:sz w:val="24"/>
                <w:szCs w:val="24"/>
              </w:rPr>
            </w:pPr>
            <w:r>
              <w:rPr>
                <w:sz w:val="24"/>
                <w:szCs w:val="24"/>
              </w:rPr>
              <w:t xml:space="preserve">Рабочая высота подъёма, м</w:t>
            </w:r>
            <w:r>
              <w:rPr>
                <w:sz w:val="24"/>
                <w:szCs w:val="24"/>
              </w:rPr>
            </w:r>
          </w:p>
        </w:tc>
        <w:tc>
          <w:tcPr>
            <w:tcW w:w="3402" w:type="dxa"/>
            <w:textDirection w:val="lrTb"/>
            <w:noWrap w:val="false"/>
          </w:tcPr>
          <w:p>
            <w:pPr>
              <w:rPr>
                <w:sz w:val="24"/>
                <w:szCs w:val="24"/>
              </w:rPr>
            </w:pPr>
            <w:r>
              <w:rPr>
                <w:sz w:val="24"/>
                <w:szCs w:val="24"/>
              </w:rPr>
              <w:t xml:space="preserve">Не менее 17,5 не более 18,5</w:t>
            </w:r>
            <w:r>
              <w:rPr>
                <w:sz w:val="24"/>
                <w:szCs w:val="24"/>
              </w:rPr>
            </w:r>
          </w:p>
        </w:tc>
        <w:tc>
          <w:tcPr>
            <w:tcW w:w="3686" w:type="dxa"/>
            <w:textDirection w:val="lrTb"/>
            <w:noWrap w:val="false"/>
          </w:tcPr>
          <w:p>
            <w:pPr>
              <w:rPr>
                <w:sz w:val="24"/>
                <w:szCs w:val="24"/>
              </w:rPr>
            </w:pPr>
            <w:r>
              <w:rPr>
                <w:sz w:val="24"/>
                <w:szCs w:val="24"/>
              </w:rPr>
            </w:r>
            <w:r>
              <w:rPr>
                <w:sz w:val="24"/>
                <w:szCs w:val="24"/>
              </w:rPr>
            </w:r>
          </w:p>
        </w:tc>
      </w:tr>
      <w:tr>
        <w:tblPrEx/>
        <w:trPr>
          <w:jc w:val="center"/>
        </w:trPr>
        <w:tc>
          <w:tcPr>
            <w:tcW w:w="3397" w:type="dxa"/>
            <w:vAlign w:val="center"/>
            <w:textDirection w:val="lrTb"/>
            <w:noWrap w:val="false"/>
          </w:tcPr>
          <w:p>
            <w:pPr>
              <w:rPr>
                <w:sz w:val="24"/>
                <w:szCs w:val="24"/>
              </w:rPr>
            </w:pPr>
            <w:r>
              <w:rPr>
                <w:sz w:val="24"/>
                <w:szCs w:val="24"/>
              </w:rPr>
              <w:t xml:space="preserve">Материал изготовления стрелы и опорной рамы</w:t>
            </w:r>
            <w:r>
              <w:rPr>
                <w:sz w:val="24"/>
                <w:szCs w:val="24"/>
              </w:rPr>
            </w:r>
          </w:p>
        </w:tc>
        <w:tc>
          <w:tcPr>
            <w:tcW w:w="3402" w:type="dxa"/>
            <w:textDirection w:val="lrTb"/>
            <w:noWrap w:val="false"/>
          </w:tcPr>
          <w:p>
            <w:pPr>
              <w:rPr>
                <w:sz w:val="24"/>
                <w:szCs w:val="24"/>
              </w:rPr>
            </w:pPr>
            <w:r>
              <w:rPr>
                <w:sz w:val="24"/>
                <w:szCs w:val="24"/>
              </w:rPr>
              <w:t xml:space="preserve">Высокопрочная сталь не менее 700 Мпа</w:t>
            </w:r>
            <w:r>
              <w:rPr>
                <w:sz w:val="24"/>
                <w:szCs w:val="24"/>
              </w:rPr>
            </w:r>
          </w:p>
        </w:tc>
        <w:tc>
          <w:tcPr>
            <w:tcW w:w="3686" w:type="dxa"/>
            <w:textDirection w:val="lrTb"/>
            <w:noWrap w:val="false"/>
          </w:tcPr>
          <w:p>
            <w:pPr>
              <w:rPr>
                <w:sz w:val="24"/>
                <w:szCs w:val="24"/>
                <w:highlight w:val="yellow"/>
              </w:rPr>
            </w:pPr>
            <w:r>
              <w:rPr>
                <w:sz w:val="24"/>
                <w:szCs w:val="24"/>
                <w:highlight w:val="yellow"/>
              </w:rPr>
            </w:r>
            <w:r>
              <w:rPr>
                <w:sz w:val="24"/>
                <w:szCs w:val="24"/>
                <w:highlight w:val="yellow"/>
              </w:rPr>
            </w:r>
          </w:p>
        </w:tc>
      </w:tr>
      <w:tr>
        <w:tblPrEx/>
        <w:trPr>
          <w:jc w:val="center"/>
        </w:trPr>
        <w:tc>
          <w:tcPr>
            <w:tcW w:w="3397" w:type="dxa"/>
            <w:vAlign w:val="center"/>
            <w:textDirection w:val="lrTb"/>
            <w:noWrap w:val="false"/>
          </w:tcPr>
          <w:p>
            <w:pPr>
              <w:rPr>
                <w:sz w:val="24"/>
                <w:szCs w:val="24"/>
              </w:rPr>
            </w:pPr>
            <w:r>
              <w:rPr>
                <w:sz w:val="24"/>
                <w:szCs w:val="24"/>
              </w:rPr>
              <w:t xml:space="preserve">Управление подъемником</w:t>
            </w:r>
            <w:r>
              <w:rPr>
                <w:sz w:val="24"/>
                <w:szCs w:val="24"/>
              </w:rPr>
              <w:tab/>
            </w:r>
            <w:r>
              <w:rPr>
                <w:sz w:val="24"/>
                <w:szCs w:val="24"/>
              </w:rPr>
            </w:r>
          </w:p>
        </w:tc>
        <w:tc>
          <w:tcPr>
            <w:tcW w:w="3402" w:type="dxa"/>
            <w:textDirection w:val="lrTb"/>
            <w:noWrap w:val="false"/>
          </w:tcPr>
          <w:p>
            <w:pPr>
              <w:rPr>
                <w:sz w:val="24"/>
                <w:szCs w:val="24"/>
              </w:rPr>
            </w:pPr>
            <w:r>
              <w:rPr>
                <w:sz w:val="24"/>
                <w:szCs w:val="24"/>
              </w:rPr>
              <w:t xml:space="preserve">Гидравлическое, в люльке и на поворотном основании</w:t>
            </w:r>
            <w:r>
              <w:rPr>
                <w:sz w:val="24"/>
                <w:szCs w:val="24"/>
              </w:rPr>
            </w:r>
          </w:p>
        </w:tc>
        <w:tc>
          <w:tcPr>
            <w:tcW w:w="3686" w:type="dxa"/>
            <w:textDirection w:val="lrTb"/>
            <w:noWrap w:val="false"/>
          </w:tcPr>
          <w:p>
            <w:pPr>
              <w:rPr>
                <w:sz w:val="24"/>
                <w:szCs w:val="24"/>
                <w:highlight w:val="yellow"/>
              </w:rPr>
            </w:pPr>
            <w:r>
              <w:rPr>
                <w:sz w:val="24"/>
                <w:szCs w:val="24"/>
                <w:highlight w:val="yellow"/>
              </w:rPr>
            </w:r>
            <w:r>
              <w:rPr>
                <w:sz w:val="24"/>
                <w:szCs w:val="24"/>
                <w:highlight w:val="yellow"/>
              </w:rPr>
            </w:r>
          </w:p>
        </w:tc>
      </w:tr>
      <w:tr>
        <w:tblPrEx/>
        <w:trPr>
          <w:jc w:val="center"/>
        </w:trPr>
        <w:tc>
          <w:tcPr>
            <w:tcW w:w="3397" w:type="dxa"/>
            <w:textDirection w:val="lrTb"/>
            <w:noWrap w:val="false"/>
          </w:tcPr>
          <w:p>
            <w:pPr>
              <w:rPr>
                <w:sz w:val="24"/>
                <w:szCs w:val="24"/>
              </w:rPr>
            </w:pPr>
            <w:r>
              <w:rPr>
                <w:sz w:val="24"/>
                <w:szCs w:val="24"/>
              </w:rPr>
              <w:t xml:space="preserve">Система управления подъемником</w:t>
            </w:r>
            <w:r>
              <w:rPr>
                <w:sz w:val="24"/>
                <w:szCs w:val="24"/>
              </w:rPr>
              <w:tab/>
            </w:r>
            <w:r>
              <w:rPr>
                <w:sz w:val="24"/>
                <w:szCs w:val="24"/>
              </w:rPr>
            </w:r>
          </w:p>
        </w:tc>
        <w:tc>
          <w:tcPr>
            <w:tcW w:w="3402" w:type="dxa"/>
            <w:textDirection w:val="lrTb"/>
            <w:noWrap w:val="false"/>
          </w:tcPr>
          <w:p>
            <w:pPr>
              <w:rPr>
                <w:sz w:val="24"/>
                <w:szCs w:val="24"/>
              </w:rPr>
            </w:pPr>
            <w:r>
              <w:rPr>
                <w:sz w:val="24"/>
                <w:szCs w:val="24"/>
              </w:rPr>
              <w:t xml:space="preserve">Пропорциональная как с верхнего, так и с нижнего пульта</w:t>
            </w:r>
            <w:r>
              <w:rPr>
                <w:sz w:val="24"/>
                <w:szCs w:val="24"/>
              </w:rPr>
            </w:r>
          </w:p>
        </w:tc>
        <w:tc>
          <w:tcPr>
            <w:tcW w:w="3686" w:type="dxa"/>
            <w:textDirection w:val="lrTb"/>
            <w:noWrap w:val="false"/>
          </w:tcPr>
          <w:p>
            <w:pPr>
              <w:rPr>
                <w:sz w:val="24"/>
                <w:szCs w:val="24"/>
              </w:rPr>
            </w:pPr>
            <w:r>
              <w:rPr>
                <w:sz w:val="24"/>
                <w:szCs w:val="24"/>
              </w:rPr>
            </w:r>
            <w:r>
              <w:rPr>
                <w:sz w:val="24"/>
                <w:szCs w:val="24"/>
              </w:rPr>
            </w:r>
          </w:p>
        </w:tc>
      </w:tr>
      <w:tr>
        <w:tblPrEx/>
        <w:trPr>
          <w:jc w:val="center"/>
        </w:trPr>
        <w:tc>
          <w:tcPr>
            <w:tcW w:w="3397" w:type="dxa"/>
            <w:textDirection w:val="lrTb"/>
            <w:noWrap w:val="false"/>
          </w:tcPr>
          <w:p>
            <w:pPr>
              <w:rPr>
                <w:sz w:val="24"/>
                <w:szCs w:val="24"/>
              </w:rPr>
            </w:pPr>
            <w:r>
              <w:rPr>
                <w:sz w:val="24"/>
                <w:szCs w:val="24"/>
              </w:rPr>
              <w:t xml:space="preserve">Высота подъема от земли до пола рабочей платформы, м</w:t>
            </w:r>
            <w:r>
              <w:rPr>
                <w:sz w:val="24"/>
                <w:szCs w:val="24"/>
              </w:rPr>
            </w:r>
          </w:p>
        </w:tc>
        <w:tc>
          <w:tcPr>
            <w:tcW w:w="3402" w:type="dxa"/>
            <w:textDirection w:val="lrTb"/>
            <w:noWrap w:val="false"/>
          </w:tcPr>
          <w:p>
            <w:pPr>
              <w:rPr>
                <w:sz w:val="24"/>
                <w:szCs w:val="24"/>
              </w:rPr>
            </w:pPr>
            <w:r>
              <w:rPr>
                <w:sz w:val="24"/>
                <w:szCs w:val="24"/>
              </w:rPr>
              <w:t xml:space="preserve">Не менее </w:t>
            </w:r>
            <w:r>
              <w:rPr>
                <w:sz w:val="24"/>
                <w:szCs w:val="24"/>
                <w:lang w:val="ru-RU"/>
              </w:rPr>
              <w:t xml:space="preserve">18</w:t>
            </w:r>
            <w:r>
              <w:rPr>
                <w:sz w:val="24"/>
                <w:szCs w:val="24"/>
              </w:rPr>
            </w:r>
          </w:p>
        </w:tc>
        <w:tc>
          <w:tcPr>
            <w:tcBorders>
              <w:top w:val="single" w:color="000000" w:sz="4" w:space="0"/>
              <w:left w:val="single" w:color="000000" w:sz="4" w:space="0"/>
              <w:bottom w:val="single" w:color="000000" w:sz="4" w:space="0"/>
              <w:right w:val="single" w:color="000000" w:sz="4" w:space="0"/>
            </w:tcBorders>
            <w:tcW w:w="3686" w:type="dxa"/>
            <w:textDirection w:val="lrTb"/>
            <w:noWrap w:val="false"/>
          </w:tcPr>
          <w:p>
            <w:pPr>
              <w:rPr>
                <w:sz w:val="24"/>
                <w:szCs w:val="24"/>
              </w:rPr>
            </w:pPr>
            <w:r>
              <w:rPr>
                <w:sz w:val="24"/>
                <w:szCs w:val="24"/>
              </w:rPr>
            </w:r>
            <w:r>
              <w:rPr>
                <w:sz w:val="24"/>
                <w:szCs w:val="24"/>
              </w:rPr>
            </w:r>
          </w:p>
        </w:tc>
      </w:tr>
      <w:tr>
        <w:tblPrEx/>
        <w:trPr>
          <w:jc w:val="center"/>
        </w:trPr>
        <w:tc>
          <w:tcPr>
            <w:tcW w:w="3397" w:type="dxa"/>
            <w:textDirection w:val="lrTb"/>
            <w:noWrap w:val="false"/>
          </w:tcPr>
          <w:p>
            <w:pPr>
              <w:rPr>
                <w:sz w:val="24"/>
                <w:szCs w:val="24"/>
              </w:rPr>
            </w:pPr>
            <w:r>
              <w:rPr>
                <w:sz w:val="24"/>
                <w:szCs w:val="24"/>
              </w:rPr>
              <w:t xml:space="preserve">Грузоподъёмность рабочей платформы, кг</w:t>
            </w:r>
            <w:r>
              <w:rPr>
                <w:sz w:val="24"/>
                <w:szCs w:val="24"/>
              </w:rPr>
            </w:r>
          </w:p>
        </w:tc>
        <w:tc>
          <w:tcPr>
            <w:tcW w:w="3402" w:type="dxa"/>
            <w:textDirection w:val="lrTb"/>
            <w:noWrap w:val="false"/>
          </w:tcPr>
          <w:p>
            <w:pPr>
              <w:rPr>
                <w:sz w:val="24"/>
                <w:szCs w:val="24"/>
              </w:rPr>
            </w:pPr>
            <w:r>
              <w:rPr>
                <w:sz w:val="24"/>
                <w:szCs w:val="24"/>
              </w:rPr>
              <w:t xml:space="preserve">Не менее 250 </w:t>
            </w:r>
            <w:r>
              <w:rPr>
                <w:sz w:val="24"/>
                <w:szCs w:val="24"/>
              </w:rPr>
            </w:r>
          </w:p>
        </w:tc>
        <w:tc>
          <w:tcPr>
            <w:tcBorders>
              <w:top w:val="single" w:color="000000" w:sz="4" w:space="0"/>
              <w:left w:val="single" w:color="000000" w:sz="4" w:space="0"/>
              <w:bottom w:val="single" w:color="000000" w:sz="4" w:space="0"/>
              <w:right w:val="single" w:color="000000" w:sz="4" w:space="0"/>
            </w:tcBorders>
            <w:tcW w:w="3686" w:type="dxa"/>
            <w:textDirection w:val="lrTb"/>
            <w:noWrap w:val="false"/>
          </w:tcPr>
          <w:p>
            <w:pPr>
              <w:rPr>
                <w:sz w:val="24"/>
                <w:szCs w:val="24"/>
              </w:rPr>
            </w:pPr>
            <w:r>
              <w:rPr>
                <w:sz w:val="24"/>
                <w:szCs w:val="24"/>
              </w:rPr>
            </w:r>
            <w:r>
              <w:rPr>
                <w:sz w:val="24"/>
                <w:szCs w:val="24"/>
              </w:rPr>
            </w:r>
          </w:p>
        </w:tc>
      </w:tr>
      <w:tr>
        <w:tblPrEx/>
        <w:trPr>
          <w:jc w:val="center"/>
        </w:trPr>
        <w:tc>
          <w:tcPr>
            <w:tcW w:w="3397" w:type="dxa"/>
            <w:textDirection w:val="lrTb"/>
            <w:noWrap w:val="false"/>
          </w:tcPr>
          <w:p>
            <w:pPr>
              <w:rPr>
                <w:sz w:val="24"/>
                <w:szCs w:val="24"/>
              </w:rPr>
            </w:pPr>
            <w:r>
              <w:rPr>
                <w:sz w:val="24"/>
                <w:szCs w:val="24"/>
              </w:rPr>
              <w:t xml:space="preserve">Вылет стрелы с полной грузоподъёмностью, м</w:t>
            </w:r>
            <w:r>
              <w:rPr>
                <w:sz w:val="24"/>
                <w:szCs w:val="24"/>
              </w:rPr>
            </w:r>
          </w:p>
        </w:tc>
        <w:tc>
          <w:tcPr>
            <w:tcW w:w="3402" w:type="dxa"/>
            <w:textDirection w:val="lrTb"/>
            <w:noWrap w:val="false"/>
          </w:tcPr>
          <w:p>
            <w:pPr>
              <w:rPr>
                <w:sz w:val="24"/>
                <w:szCs w:val="24"/>
              </w:rPr>
            </w:pPr>
            <w:r>
              <w:rPr>
                <w:sz w:val="24"/>
                <w:szCs w:val="24"/>
              </w:rPr>
              <w:t xml:space="preserve">Не менее </w:t>
            </w:r>
            <w:r>
              <w:rPr>
                <w:sz w:val="24"/>
                <w:szCs w:val="24"/>
                <w:lang w:val="ru-RU"/>
              </w:rPr>
              <w:t xml:space="preserve">13</w:t>
            </w:r>
            <w:r>
              <w:rPr>
                <w:sz w:val="24"/>
                <w:szCs w:val="24"/>
              </w:rPr>
            </w:r>
          </w:p>
        </w:tc>
        <w:tc>
          <w:tcPr>
            <w:tcBorders>
              <w:top w:val="single" w:color="000000" w:sz="4" w:space="0"/>
              <w:left w:val="single" w:color="000000" w:sz="4" w:space="0"/>
              <w:bottom w:val="single" w:color="000000" w:sz="4" w:space="0"/>
              <w:right w:val="single" w:color="000000" w:sz="4" w:space="0"/>
            </w:tcBorders>
            <w:tcW w:w="3686" w:type="dxa"/>
            <w:textDirection w:val="lrTb"/>
            <w:noWrap w:val="false"/>
          </w:tcPr>
          <w:p>
            <w:pPr>
              <w:rPr>
                <w:sz w:val="24"/>
                <w:szCs w:val="24"/>
              </w:rPr>
            </w:pPr>
            <w:r>
              <w:rPr>
                <w:sz w:val="24"/>
                <w:szCs w:val="24"/>
              </w:rPr>
            </w:r>
            <w:r>
              <w:rPr>
                <w:sz w:val="24"/>
                <w:szCs w:val="24"/>
              </w:rPr>
            </w:r>
          </w:p>
        </w:tc>
      </w:tr>
      <w:tr>
        <w:tblPrEx/>
        <w:trPr>
          <w:jc w:val="center"/>
          <w:trHeight w:val="94"/>
        </w:trPr>
        <w:tc>
          <w:tcPr>
            <w:tcW w:w="3397" w:type="dxa"/>
            <w:textDirection w:val="lrTb"/>
            <w:noWrap w:val="false"/>
          </w:tcPr>
          <w:p>
            <w:pPr>
              <w:rPr>
                <w:sz w:val="24"/>
                <w:szCs w:val="24"/>
              </w:rPr>
            </w:pPr>
            <w:r>
              <w:rPr>
                <w:sz w:val="24"/>
                <w:szCs w:val="24"/>
              </w:rPr>
              <w:t xml:space="preserve">Угол поворота</w:t>
            </w:r>
            <w:r>
              <w:rPr>
                <w:sz w:val="24"/>
                <w:szCs w:val="24"/>
              </w:rPr>
            </w:r>
          </w:p>
        </w:tc>
        <w:tc>
          <w:tcPr>
            <w:tcW w:w="3402" w:type="dxa"/>
            <w:textDirection w:val="lrTb"/>
            <w:noWrap w:val="false"/>
          </w:tcPr>
          <w:p>
            <w:pPr>
              <w:rPr>
                <w:sz w:val="24"/>
                <w:szCs w:val="24"/>
              </w:rPr>
            </w:pPr>
            <w:r>
              <w:rPr>
                <w:sz w:val="24"/>
                <w:szCs w:val="24"/>
              </w:rPr>
              <w:t xml:space="preserve">360˚</w:t>
            </w:r>
            <w:r>
              <w:rPr>
                <w:sz w:val="24"/>
                <w:szCs w:val="24"/>
              </w:rPr>
            </w:r>
          </w:p>
        </w:tc>
        <w:tc>
          <w:tcPr>
            <w:tcBorders>
              <w:top w:val="single" w:color="000000" w:sz="4" w:space="0"/>
              <w:left w:val="single" w:color="000000" w:sz="4" w:space="0"/>
              <w:bottom w:val="single" w:color="000000" w:sz="4" w:space="0"/>
              <w:right w:val="single" w:color="000000" w:sz="4" w:space="0"/>
            </w:tcBorders>
            <w:tcW w:w="3686" w:type="dxa"/>
            <w:textDirection w:val="lrTb"/>
            <w:noWrap w:val="false"/>
          </w:tcPr>
          <w:p>
            <w:pPr>
              <w:rPr>
                <w:sz w:val="24"/>
                <w:szCs w:val="24"/>
              </w:rPr>
            </w:pPr>
            <w:r>
              <w:rPr>
                <w:sz w:val="24"/>
                <w:szCs w:val="24"/>
              </w:rPr>
            </w:r>
            <w:r>
              <w:rPr>
                <w:sz w:val="24"/>
                <w:szCs w:val="24"/>
              </w:rPr>
            </w:r>
          </w:p>
        </w:tc>
      </w:tr>
      <w:tr>
        <w:tblPrEx/>
        <w:trPr>
          <w:jc w:val="center"/>
          <w:trHeight w:val="94"/>
        </w:trPr>
        <w:tc>
          <w:tcPr>
            <w:tcW w:w="3397" w:type="dxa"/>
            <w:textDirection w:val="lrTb"/>
            <w:noWrap w:val="false"/>
          </w:tcPr>
          <w:p>
            <w:pPr>
              <w:rPr>
                <w:sz w:val="24"/>
                <w:szCs w:val="24"/>
              </w:rPr>
            </w:pPr>
            <w:r>
              <w:rPr>
                <w:sz w:val="24"/>
                <w:szCs w:val="24"/>
              </w:rPr>
              <w:t xml:space="preserve">Угол поворота рабочей платформы</w:t>
            </w:r>
            <w:r>
              <w:rPr>
                <w:sz w:val="24"/>
                <w:szCs w:val="24"/>
              </w:rPr>
            </w:r>
          </w:p>
        </w:tc>
        <w:tc>
          <w:tcPr>
            <w:tcW w:w="3402" w:type="dxa"/>
            <w:textDirection w:val="lrTb"/>
            <w:noWrap w:val="false"/>
          </w:tcPr>
          <w:p>
            <w:pPr>
              <w:rPr>
                <w:sz w:val="24"/>
                <w:szCs w:val="24"/>
              </w:rPr>
            </w:pPr>
            <w:r>
              <w:rPr>
                <w:sz w:val="24"/>
                <w:szCs w:val="24"/>
              </w:rPr>
              <w:t xml:space="preserve">Не более ±60˚</w:t>
            </w:r>
            <w:r>
              <w:rPr>
                <w:sz w:val="24"/>
                <w:szCs w:val="24"/>
              </w:rPr>
            </w:r>
          </w:p>
        </w:tc>
        <w:tc>
          <w:tcPr>
            <w:tcBorders>
              <w:top w:val="single" w:color="000000" w:sz="4" w:space="0"/>
              <w:left w:val="single" w:color="000000" w:sz="4" w:space="0"/>
              <w:bottom w:val="single" w:color="000000" w:sz="4" w:space="0"/>
              <w:right w:val="single" w:color="000000" w:sz="4" w:space="0"/>
            </w:tcBorders>
            <w:tcW w:w="3686" w:type="dxa"/>
            <w:textDirection w:val="lrTb"/>
            <w:noWrap w:val="false"/>
          </w:tcPr>
          <w:p>
            <w:pPr>
              <w:rPr>
                <w:sz w:val="24"/>
                <w:szCs w:val="24"/>
              </w:rPr>
            </w:pPr>
            <w:r>
              <w:rPr>
                <w:sz w:val="24"/>
                <w:szCs w:val="24"/>
              </w:rPr>
            </w:r>
            <w:r>
              <w:rPr>
                <w:sz w:val="24"/>
                <w:szCs w:val="24"/>
              </w:rPr>
            </w:r>
          </w:p>
        </w:tc>
      </w:tr>
      <w:tr>
        <w:tblPrEx/>
        <w:trPr>
          <w:jc w:val="center"/>
        </w:trPr>
        <w:tc>
          <w:tcPr>
            <w:tcW w:w="3397" w:type="dxa"/>
            <w:textDirection w:val="lrTb"/>
            <w:noWrap w:val="false"/>
          </w:tcPr>
          <w:p>
            <w:pPr>
              <w:rPr>
                <w:sz w:val="24"/>
                <w:szCs w:val="24"/>
              </w:rPr>
            </w:pPr>
            <w:r>
              <w:rPr>
                <w:sz w:val="24"/>
                <w:szCs w:val="24"/>
              </w:rPr>
              <w:t xml:space="preserve">Система укладки РВД</w:t>
            </w:r>
            <w:r>
              <w:rPr>
                <w:sz w:val="24"/>
                <w:szCs w:val="24"/>
              </w:rPr>
              <w:tab/>
            </w:r>
            <w:r>
              <w:rPr>
                <w:sz w:val="24"/>
                <w:szCs w:val="24"/>
              </w:rPr>
            </w:r>
          </w:p>
        </w:tc>
        <w:tc>
          <w:tcPr>
            <w:tcW w:w="3402" w:type="dxa"/>
            <w:textDirection w:val="lrTb"/>
            <w:noWrap w:val="false"/>
          </w:tcPr>
          <w:p>
            <w:pPr>
              <w:rPr>
                <w:sz w:val="24"/>
                <w:szCs w:val="24"/>
              </w:rPr>
            </w:pPr>
            <w:r>
              <w:rPr>
                <w:sz w:val="24"/>
                <w:szCs w:val="24"/>
              </w:rPr>
              <w:t xml:space="preserve">Снаружи, в специальном защищенном коробе</w:t>
            </w:r>
            <w:r>
              <w:rPr>
                <w:sz w:val="24"/>
                <w:szCs w:val="24"/>
              </w:rPr>
            </w:r>
          </w:p>
        </w:tc>
        <w:tc>
          <w:tcPr>
            <w:tcBorders>
              <w:top w:val="single" w:color="000000" w:sz="4" w:space="0"/>
              <w:left w:val="single" w:color="000000" w:sz="4" w:space="0"/>
              <w:bottom w:val="single" w:color="000000" w:sz="4" w:space="0"/>
              <w:right w:val="single" w:color="000000" w:sz="4" w:space="0"/>
            </w:tcBorders>
            <w:tcW w:w="3686" w:type="dxa"/>
            <w:textDirection w:val="lrTb"/>
            <w:noWrap w:val="false"/>
          </w:tcPr>
          <w:p>
            <w:pPr>
              <w:rPr>
                <w:sz w:val="24"/>
                <w:szCs w:val="24"/>
              </w:rPr>
            </w:pPr>
            <w:r>
              <w:rPr>
                <w:sz w:val="24"/>
                <w:szCs w:val="24"/>
              </w:rPr>
            </w:r>
            <w:r>
              <w:rPr>
                <w:sz w:val="24"/>
                <w:szCs w:val="24"/>
              </w:rPr>
            </w:r>
          </w:p>
        </w:tc>
      </w:tr>
      <w:tr>
        <w:tblPrEx/>
        <w:trPr>
          <w:jc w:val="center"/>
        </w:trPr>
        <w:tc>
          <w:tcPr>
            <w:tcW w:w="3397" w:type="dxa"/>
            <w:textDirection w:val="lrTb"/>
            <w:noWrap w:val="false"/>
          </w:tcPr>
          <w:p>
            <w:pPr>
              <w:rPr>
                <w:sz w:val="24"/>
                <w:szCs w:val="24"/>
              </w:rPr>
            </w:pPr>
            <w:r>
              <w:rPr>
                <w:sz w:val="24"/>
                <w:szCs w:val="24"/>
              </w:rPr>
              <w:t xml:space="preserve">Расположение цилиндра выдвижения стрелы</w:t>
            </w:r>
            <w:r>
              <w:rPr>
                <w:sz w:val="24"/>
                <w:szCs w:val="24"/>
              </w:rPr>
            </w:r>
          </w:p>
        </w:tc>
        <w:tc>
          <w:tcPr>
            <w:tcW w:w="3402" w:type="dxa"/>
            <w:textDirection w:val="lrTb"/>
            <w:noWrap w:val="false"/>
          </w:tcPr>
          <w:p>
            <w:pPr>
              <w:rPr>
                <w:sz w:val="24"/>
                <w:szCs w:val="24"/>
              </w:rPr>
            </w:pPr>
            <w:r>
              <w:rPr>
                <w:sz w:val="24"/>
                <w:szCs w:val="24"/>
              </w:rPr>
              <w:t xml:space="preserve">Внутри стрелы</w:t>
            </w:r>
            <w:r>
              <w:rPr>
                <w:sz w:val="24"/>
                <w:szCs w:val="24"/>
              </w:rPr>
            </w:r>
          </w:p>
        </w:tc>
        <w:tc>
          <w:tcPr>
            <w:tcBorders>
              <w:top w:val="single" w:color="000000" w:sz="4" w:space="0"/>
              <w:left w:val="single" w:color="000000" w:sz="4" w:space="0"/>
              <w:bottom w:val="single" w:color="000000" w:sz="4" w:space="0"/>
              <w:right w:val="single" w:color="000000" w:sz="4" w:space="0"/>
            </w:tcBorders>
            <w:tcW w:w="3686" w:type="dxa"/>
            <w:textDirection w:val="lrTb"/>
            <w:noWrap w:val="false"/>
          </w:tcPr>
          <w:p>
            <w:pPr>
              <w:rPr>
                <w:sz w:val="24"/>
                <w:szCs w:val="24"/>
                <w:highlight w:val="yellow"/>
              </w:rPr>
            </w:pPr>
            <w:r>
              <w:rPr>
                <w:sz w:val="24"/>
                <w:szCs w:val="24"/>
                <w:highlight w:val="yellow"/>
              </w:rPr>
            </w:r>
            <w:r>
              <w:rPr>
                <w:sz w:val="24"/>
                <w:szCs w:val="24"/>
                <w:highlight w:val="yellow"/>
              </w:rPr>
            </w:r>
          </w:p>
        </w:tc>
      </w:tr>
      <w:tr>
        <w:tblPrEx/>
        <w:trPr>
          <w:jc w:val="center"/>
        </w:trPr>
        <w:tc>
          <w:tcPr>
            <w:tcW w:w="3397" w:type="dxa"/>
            <w:textDirection w:val="lrTb"/>
            <w:noWrap w:val="false"/>
          </w:tcPr>
          <w:p>
            <w:pPr>
              <w:rPr>
                <w:sz w:val="24"/>
                <w:szCs w:val="24"/>
              </w:rPr>
            </w:pPr>
            <w:r>
              <w:rPr>
                <w:sz w:val="24"/>
                <w:szCs w:val="24"/>
              </w:rPr>
              <w:t xml:space="preserve">Изоляция рабочей платформы, В</w:t>
            </w:r>
            <w:r>
              <w:rPr>
                <w:sz w:val="24"/>
                <w:szCs w:val="24"/>
              </w:rPr>
            </w:r>
          </w:p>
        </w:tc>
        <w:tc>
          <w:tcPr>
            <w:tcW w:w="3402" w:type="dxa"/>
            <w:textDirection w:val="lrTb"/>
            <w:noWrap w:val="false"/>
          </w:tcPr>
          <w:p>
            <w:pPr>
              <w:rPr>
                <w:sz w:val="24"/>
                <w:szCs w:val="24"/>
              </w:rPr>
            </w:pPr>
            <w:r>
              <w:rPr>
                <w:sz w:val="24"/>
                <w:szCs w:val="24"/>
              </w:rPr>
              <w:t xml:space="preserve">Не менее10 000</w:t>
            </w:r>
            <w:r>
              <w:rPr>
                <w:sz w:val="24"/>
                <w:szCs w:val="24"/>
              </w:rPr>
            </w:r>
          </w:p>
        </w:tc>
        <w:tc>
          <w:tcPr>
            <w:tcBorders>
              <w:top w:val="single" w:color="000000" w:sz="4" w:space="0"/>
              <w:left w:val="single" w:color="000000" w:sz="4" w:space="0"/>
              <w:bottom w:val="single" w:color="000000" w:sz="4" w:space="0"/>
              <w:right w:val="single" w:color="000000" w:sz="4" w:space="0"/>
            </w:tcBorders>
            <w:tcW w:w="3686" w:type="dxa"/>
            <w:textDirection w:val="lrTb"/>
            <w:noWrap w:val="false"/>
          </w:tcPr>
          <w:p>
            <w:pPr>
              <w:rPr>
                <w:sz w:val="24"/>
                <w:szCs w:val="24"/>
              </w:rPr>
            </w:pPr>
            <w:r>
              <w:rPr>
                <w:sz w:val="24"/>
                <w:szCs w:val="24"/>
              </w:rPr>
            </w:r>
            <w:r>
              <w:rPr>
                <w:sz w:val="24"/>
                <w:szCs w:val="24"/>
              </w:rPr>
            </w:r>
          </w:p>
        </w:tc>
      </w:tr>
      <w:tr>
        <w:tblPrEx/>
        <w:trPr>
          <w:jc w:val="center"/>
          <w:trHeight w:val="100"/>
        </w:trPr>
        <w:tc>
          <w:tcPr>
            <w:tcW w:w="3397" w:type="dxa"/>
            <w:textDirection w:val="lrTb"/>
            <w:noWrap w:val="false"/>
          </w:tcPr>
          <w:p>
            <w:pPr>
              <w:rPr>
                <w:sz w:val="24"/>
                <w:szCs w:val="24"/>
              </w:rPr>
            </w:pPr>
            <w:r>
              <w:rPr>
                <w:sz w:val="24"/>
                <w:szCs w:val="24"/>
              </w:rPr>
              <w:t xml:space="preserve">Размер рабочей платформы, м</w:t>
            </w:r>
            <w:r>
              <w:rPr>
                <w:sz w:val="24"/>
                <w:szCs w:val="24"/>
              </w:rPr>
            </w:r>
          </w:p>
        </w:tc>
        <w:tc>
          <w:tcPr>
            <w:tcW w:w="3402" w:type="dxa"/>
            <w:textDirection w:val="lrTb"/>
            <w:noWrap w:val="false"/>
          </w:tcPr>
          <w:p>
            <w:pPr>
              <w:rPr>
                <w:sz w:val="24"/>
                <w:szCs w:val="24"/>
              </w:rPr>
            </w:pPr>
            <w:r>
              <w:rPr>
                <w:sz w:val="24"/>
                <w:szCs w:val="24"/>
              </w:rPr>
              <w:t xml:space="preserve">Не более 1,4×0,7×1,1</w:t>
            </w:r>
            <w:r>
              <w:rPr>
                <w:sz w:val="24"/>
                <w:szCs w:val="24"/>
              </w:rPr>
            </w:r>
          </w:p>
        </w:tc>
        <w:tc>
          <w:tcPr>
            <w:tcBorders>
              <w:top w:val="single" w:color="000000" w:sz="4" w:space="0"/>
              <w:left w:val="single" w:color="000000" w:sz="4" w:space="0"/>
              <w:bottom w:val="single" w:color="000000" w:sz="4" w:space="0"/>
              <w:right w:val="single" w:color="000000" w:sz="4" w:space="0"/>
            </w:tcBorders>
            <w:tcW w:w="3686" w:type="dxa"/>
            <w:textDirection w:val="lrTb"/>
            <w:noWrap w:val="false"/>
          </w:tcPr>
          <w:p>
            <w:pPr>
              <w:rPr>
                <w:sz w:val="24"/>
                <w:szCs w:val="24"/>
              </w:rPr>
            </w:pPr>
            <w:r>
              <w:rPr>
                <w:sz w:val="24"/>
                <w:szCs w:val="24"/>
              </w:rPr>
            </w:r>
            <w:r>
              <w:rPr>
                <w:sz w:val="24"/>
                <w:szCs w:val="24"/>
              </w:rPr>
            </w:r>
          </w:p>
        </w:tc>
      </w:tr>
      <w:tr>
        <w:tblPrEx/>
        <w:trPr>
          <w:jc w:val="center"/>
          <w:trHeight w:val="132"/>
        </w:trPr>
        <w:tc>
          <w:tcPr>
            <w:tcW w:w="3397" w:type="dxa"/>
            <w:textDirection w:val="lrTb"/>
            <w:noWrap w:val="false"/>
          </w:tcPr>
          <w:p>
            <w:pPr>
              <w:rPr>
                <w:sz w:val="24"/>
                <w:szCs w:val="24"/>
              </w:rPr>
            </w:pPr>
            <w:r>
              <w:rPr>
                <w:sz w:val="24"/>
                <w:szCs w:val="24"/>
              </w:rPr>
              <w:t xml:space="preserve">Опорный контур, м </w:t>
            </w:r>
            <w:r>
              <w:rPr>
                <w:sz w:val="24"/>
                <w:szCs w:val="24"/>
              </w:rPr>
            </w:r>
          </w:p>
          <w:p>
            <w:pPr>
              <w:rPr>
                <w:sz w:val="24"/>
                <w:szCs w:val="24"/>
              </w:rPr>
            </w:pPr>
            <w:r>
              <w:rPr>
                <w:sz w:val="24"/>
                <w:szCs w:val="24"/>
              </w:rPr>
              <w:t xml:space="preserve">Продольный</w:t>
            </w:r>
            <w:r>
              <w:rPr>
                <w:sz w:val="24"/>
                <w:szCs w:val="24"/>
              </w:rPr>
            </w:r>
          </w:p>
          <w:p>
            <w:pPr>
              <w:rPr>
                <w:sz w:val="24"/>
                <w:szCs w:val="24"/>
              </w:rPr>
            </w:pPr>
            <w:r>
              <w:rPr>
                <w:sz w:val="24"/>
                <w:szCs w:val="24"/>
              </w:rPr>
              <w:t xml:space="preserve">Поперечный</w:t>
            </w:r>
            <w:r>
              <w:rPr>
                <w:sz w:val="24"/>
                <w:szCs w:val="24"/>
              </w:rPr>
            </w:r>
          </w:p>
          <w:p>
            <w:pPr>
              <w:rPr>
                <w:sz w:val="24"/>
                <w:szCs w:val="24"/>
              </w:rPr>
            </w:pPr>
            <w:r>
              <w:rPr>
                <w:sz w:val="24"/>
                <w:szCs w:val="24"/>
              </w:rPr>
              <w:t xml:space="preserve">Передний </w:t>
            </w:r>
            <w:r>
              <w:rPr>
                <w:sz w:val="24"/>
                <w:szCs w:val="24"/>
              </w:rPr>
            </w:r>
          </w:p>
          <w:p>
            <w:pPr>
              <w:rPr>
                <w:sz w:val="24"/>
                <w:szCs w:val="24"/>
              </w:rPr>
            </w:pPr>
            <w:r>
              <w:rPr>
                <w:sz w:val="24"/>
                <w:szCs w:val="24"/>
              </w:rPr>
              <w:t xml:space="preserve">Задний</w:t>
            </w:r>
            <w:r>
              <w:rPr>
                <w:sz w:val="24"/>
                <w:szCs w:val="24"/>
              </w:rPr>
            </w:r>
          </w:p>
        </w:tc>
        <w:tc>
          <w:tcPr>
            <w:tcW w:w="3402" w:type="dxa"/>
            <w:textDirection w:val="lrTb"/>
            <w:noWrap w:val="false"/>
          </w:tcPr>
          <w:p>
            <w:pPr>
              <w:rPr>
                <w:sz w:val="24"/>
                <w:szCs w:val="24"/>
              </w:rPr>
            </w:pPr>
            <w:r>
              <w:rPr>
                <w:sz w:val="24"/>
                <w:szCs w:val="24"/>
              </w:rPr>
            </w:r>
            <w:r>
              <w:rPr>
                <w:sz w:val="24"/>
                <w:szCs w:val="24"/>
              </w:rPr>
            </w:r>
          </w:p>
          <w:p>
            <w:pPr>
              <w:rPr>
                <w:sz w:val="24"/>
                <w:szCs w:val="24"/>
              </w:rPr>
            </w:pPr>
            <w:r>
              <w:rPr>
                <w:sz w:val="24"/>
                <w:szCs w:val="24"/>
              </w:rPr>
              <w:t xml:space="preserve">Не более 4,2</w:t>
            </w:r>
            <w:r>
              <w:rPr>
                <w:sz w:val="24"/>
                <w:szCs w:val="24"/>
              </w:rPr>
            </w:r>
          </w:p>
          <w:p>
            <w:pPr>
              <w:rPr>
                <w:sz w:val="24"/>
                <w:szCs w:val="24"/>
              </w:rPr>
            </w:pPr>
            <w:r>
              <w:rPr>
                <w:sz w:val="24"/>
                <w:szCs w:val="24"/>
              </w:rPr>
            </w:r>
            <w:r>
              <w:rPr>
                <w:sz w:val="24"/>
                <w:szCs w:val="24"/>
              </w:rPr>
            </w:r>
          </w:p>
          <w:p>
            <w:pPr>
              <w:rPr>
                <w:sz w:val="24"/>
                <w:szCs w:val="24"/>
              </w:rPr>
            </w:pPr>
            <w:r>
              <w:rPr>
                <w:sz w:val="24"/>
                <w:szCs w:val="24"/>
              </w:rPr>
              <w:t xml:space="preserve">Не более 3,8</w:t>
            </w:r>
            <w:r>
              <w:rPr>
                <w:sz w:val="24"/>
                <w:szCs w:val="24"/>
              </w:rPr>
            </w:r>
          </w:p>
          <w:p>
            <w:pPr>
              <w:rPr>
                <w:sz w:val="24"/>
                <w:szCs w:val="24"/>
              </w:rPr>
            </w:pPr>
            <w:r>
              <w:rPr>
                <w:sz w:val="24"/>
                <w:szCs w:val="24"/>
              </w:rPr>
              <w:t xml:space="preserve">Не более 2,5</w:t>
            </w:r>
            <w:r>
              <w:rPr>
                <w:sz w:val="24"/>
                <w:szCs w:val="24"/>
              </w:rPr>
            </w:r>
          </w:p>
        </w:tc>
        <w:tc>
          <w:tcPr>
            <w:tcBorders>
              <w:top w:val="single" w:color="000000" w:sz="4" w:space="0"/>
              <w:left w:val="single" w:color="000000" w:sz="4" w:space="0"/>
              <w:bottom w:val="single" w:color="000000" w:sz="4" w:space="0"/>
              <w:right w:val="single" w:color="000000" w:sz="4" w:space="0"/>
            </w:tcBorders>
            <w:tcW w:w="3686" w:type="dxa"/>
            <w:textDirection w:val="lrTb"/>
            <w:noWrap w:val="false"/>
          </w:tcPr>
          <w:p>
            <w:pPr>
              <w:rPr>
                <w:sz w:val="24"/>
                <w:szCs w:val="24"/>
                <w:highlight w:val="yellow"/>
              </w:rPr>
            </w:pPr>
            <w:r>
              <w:rPr>
                <w:sz w:val="24"/>
                <w:szCs w:val="24"/>
                <w:highlight w:val="yellow"/>
              </w:rPr>
            </w:r>
            <w:r>
              <w:rPr>
                <w:sz w:val="24"/>
                <w:szCs w:val="24"/>
                <w:highlight w:val="yellow"/>
              </w:rPr>
            </w:r>
          </w:p>
        </w:tc>
      </w:tr>
      <w:tr>
        <w:tblPrEx/>
        <w:trPr>
          <w:jc w:val="center"/>
          <w:trHeight w:val="132"/>
        </w:trPr>
        <w:tc>
          <w:tcPr>
            <w:tcW w:w="3397" w:type="dxa"/>
            <w:textDirection w:val="lrTb"/>
            <w:noWrap w:val="false"/>
          </w:tcPr>
          <w:p>
            <w:pPr>
              <w:rPr>
                <w:sz w:val="24"/>
                <w:szCs w:val="24"/>
              </w:rPr>
            </w:pPr>
            <w:r>
              <w:rPr>
                <w:sz w:val="24"/>
                <w:szCs w:val="24"/>
              </w:rPr>
              <w:t xml:space="preserve">Расположение аутригеров в транспортном положении</w:t>
            </w:r>
            <w:r>
              <w:rPr>
                <w:sz w:val="24"/>
                <w:szCs w:val="24"/>
              </w:rPr>
            </w:r>
          </w:p>
        </w:tc>
        <w:tc>
          <w:tcPr>
            <w:tcW w:w="3402" w:type="dxa"/>
            <w:textDirection w:val="lrTb"/>
            <w:noWrap w:val="false"/>
          </w:tcPr>
          <w:p>
            <w:pPr>
              <w:rPr>
                <w:sz w:val="24"/>
                <w:szCs w:val="24"/>
              </w:rPr>
            </w:pPr>
            <w:r>
              <w:rPr>
                <w:sz w:val="24"/>
                <w:szCs w:val="24"/>
              </w:rPr>
              <w:t xml:space="preserve">Передние - подняты вверх параллельно кабине;</w:t>
            </w:r>
            <w:r>
              <w:rPr>
                <w:sz w:val="24"/>
                <w:szCs w:val="24"/>
              </w:rPr>
            </w:r>
          </w:p>
          <w:p>
            <w:pPr>
              <w:rPr>
                <w:sz w:val="24"/>
                <w:szCs w:val="24"/>
              </w:rPr>
            </w:pPr>
            <w:r>
              <w:rPr>
                <w:sz w:val="24"/>
                <w:szCs w:val="24"/>
              </w:rPr>
              <w:t xml:space="preserve">Задние – на заднем свесе АГП в колее задних колес;</w:t>
            </w:r>
            <w:r>
              <w:rPr>
                <w:sz w:val="24"/>
                <w:szCs w:val="24"/>
              </w:rPr>
            </w:r>
          </w:p>
        </w:tc>
        <w:tc>
          <w:tcPr>
            <w:tcBorders>
              <w:top w:val="single" w:color="000000" w:sz="4" w:space="0"/>
              <w:left w:val="single" w:color="000000" w:sz="4" w:space="0"/>
              <w:bottom w:val="single" w:color="000000" w:sz="4" w:space="0"/>
              <w:right w:val="single" w:color="000000" w:sz="4" w:space="0"/>
            </w:tcBorders>
            <w:tcW w:w="3686" w:type="dxa"/>
            <w:textDirection w:val="lrTb"/>
            <w:noWrap w:val="false"/>
          </w:tcPr>
          <w:p>
            <w:pPr>
              <w:rPr>
                <w:sz w:val="24"/>
                <w:szCs w:val="24"/>
                <w:highlight w:val="yellow"/>
              </w:rPr>
            </w:pPr>
            <w:r>
              <w:rPr>
                <w:sz w:val="24"/>
                <w:szCs w:val="24"/>
                <w:highlight w:val="yellow"/>
              </w:rPr>
            </w:r>
            <w:r>
              <w:rPr>
                <w:sz w:val="24"/>
                <w:szCs w:val="24"/>
                <w:highlight w:val="yellow"/>
              </w:rPr>
            </w:r>
          </w:p>
        </w:tc>
      </w:tr>
      <w:tr>
        <w:tblPrEx/>
        <w:trPr>
          <w:jc w:val="center"/>
          <w:trHeight w:val="132"/>
        </w:trPr>
        <w:tc>
          <w:tcPr>
            <w:tcW w:w="3397" w:type="dxa"/>
            <w:textDirection w:val="lrTb"/>
            <w:noWrap w:val="false"/>
          </w:tcPr>
          <w:p>
            <w:pPr>
              <w:rPr>
                <w:sz w:val="24"/>
                <w:szCs w:val="24"/>
              </w:rPr>
            </w:pPr>
            <w:r>
              <w:rPr>
                <w:sz w:val="24"/>
                <w:szCs w:val="24"/>
              </w:rPr>
              <w:t xml:space="preserve">Количество аутригеров, шт</w:t>
            </w:r>
            <w:r>
              <w:rPr>
                <w:sz w:val="24"/>
                <w:szCs w:val="24"/>
              </w:rPr>
            </w:r>
          </w:p>
        </w:tc>
        <w:tc>
          <w:tcPr>
            <w:tcW w:w="3402" w:type="dxa"/>
            <w:textDirection w:val="lrTb"/>
            <w:noWrap w:val="false"/>
          </w:tcPr>
          <w:p>
            <w:pPr>
              <w:rPr>
                <w:sz w:val="24"/>
                <w:szCs w:val="24"/>
              </w:rPr>
            </w:pPr>
            <w:r>
              <w:rPr>
                <w:sz w:val="24"/>
                <w:szCs w:val="24"/>
              </w:rPr>
              <w:t xml:space="preserve">Не более 4</w:t>
            </w:r>
            <w:r>
              <w:rPr>
                <w:sz w:val="24"/>
                <w:szCs w:val="24"/>
              </w:rPr>
            </w:r>
          </w:p>
        </w:tc>
        <w:tc>
          <w:tcPr>
            <w:tcBorders>
              <w:top w:val="single" w:color="000000" w:sz="4" w:space="0"/>
              <w:left w:val="single" w:color="000000" w:sz="4" w:space="0"/>
              <w:bottom w:val="single" w:color="000000" w:sz="4" w:space="0"/>
              <w:right w:val="single" w:color="000000" w:sz="4" w:space="0"/>
            </w:tcBorders>
            <w:tcW w:w="3686" w:type="dxa"/>
            <w:textDirection w:val="lrTb"/>
            <w:noWrap w:val="false"/>
          </w:tcPr>
          <w:p>
            <w:pPr>
              <w:rPr>
                <w:sz w:val="24"/>
                <w:szCs w:val="24"/>
                <w:highlight w:val="yellow"/>
              </w:rPr>
            </w:pPr>
            <w:r>
              <w:rPr>
                <w:sz w:val="24"/>
                <w:szCs w:val="24"/>
                <w:highlight w:val="yellow"/>
              </w:rPr>
            </w:r>
            <w:r>
              <w:rPr>
                <w:sz w:val="24"/>
                <w:szCs w:val="24"/>
                <w:highlight w:val="yellow"/>
              </w:rPr>
            </w:r>
          </w:p>
        </w:tc>
      </w:tr>
      <w:tr>
        <w:tblPrEx/>
        <w:trPr>
          <w:jc w:val="center"/>
          <w:trHeight w:val="132"/>
        </w:trPr>
        <w:tc>
          <w:tcPr>
            <w:tcW w:w="3397" w:type="dxa"/>
            <w:textDirection w:val="lrTb"/>
            <w:noWrap w:val="false"/>
          </w:tcPr>
          <w:p>
            <w:pPr>
              <w:rPr>
                <w:sz w:val="24"/>
                <w:szCs w:val="24"/>
              </w:rPr>
            </w:pPr>
            <w:r>
              <w:rPr>
                <w:sz w:val="24"/>
                <w:szCs w:val="24"/>
              </w:rPr>
              <w:t xml:space="preserve">Тип аутригеров</w:t>
            </w:r>
            <w:r>
              <w:rPr>
                <w:sz w:val="24"/>
                <w:szCs w:val="24"/>
              </w:rPr>
            </w:r>
          </w:p>
        </w:tc>
        <w:tc>
          <w:tcPr>
            <w:tcW w:w="3402" w:type="dxa"/>
            <w:textDirection w:val="lrTb"/>
            <w:noWrap w:val="false"/>
          </w:tcPr>
          <w:p>
            <w:pPr>
              <w:rPr>
                <w:sz w:val="24"/>
                <w:szCs w:val="24"/>
              </w:rPr>
            </w:pPr>
            <w:r>
              <w:rPr>
                <w:sz w:val="24"/>
                <w:szCs w:val="24"/>
              </w:rPr>
              <w:t xml:space="preserve">Передние откидные;</w:t>
            </w:r>
            <w:r>
              <w:rPr>
                <w:sz w:val="24"/>
                <w:szCs w:val="24"/>
              </w:rPr>
            </w:r>
          </w:p>
          <w:p>
            <w:pPr>
              <w:rPr>
                <w:sz w:val="24"/>
                <w:szCs w:val="24"/>
              </w:rPr>
            </w:pPr>
            <w:r>
              <w:rPr>
                <w:sz w:val="24"/>
                <w:szCs w:val="24"/>
              </w:rPr>
              <w:t xml:space="preserve">Задние А- образные</w:t>
            </w:r>
            <w:r>
              <w:rPr>
                <w:sz w:val="24"/>
                <w:szCs w:val="24"/>
              </w:rPr>
            </w:r>
          </w:p>
        </w:tc>
        <w:tc>
          <w:tcPr>
            <w:tcBorders>
              <w:top w:val="single" w:color="000000" w:sz="4" w:space="0"/>
              <w:left w:val="single" w:color="000000" w:sz="4" w:space="0"/>
              <w:bottom w:val="single" w:color="000000" w:sz="4" w:space="0"/>
              <w:right w:val="single" w:color="000000" w:sz="4" w:space="0"/>
            </w:tcBorders>
            <w:tcW w:w="3686" w:type="dxa"/>
            <w:textDirection w:val="lrTb"/>
            <w:noWrap w:val="false"/>
          </w:tcPr>
          <w:p>
            <w:pPr>
              <w:rPr>
                <w:sz w:val="24"/>
                <w:szCs w:val="24"/>
                <w:highlight w:val="yellow"/>
              </w:rPr>
            </w:pPr>
            <w:r>
              <w:rPr>
                <w:sz w:val="24"/>
                <w:szCs w:val="24"/>
                <w:highlight w:val="yellow"/>
              </w:rPr>
            </w:r>
            <w:r>
              <w:rPr>
                <w:sz w:val="24"/>
                <w:szCs w:val="24"/>
                <w:highlight w:val="yellow"/>
              </w:rPr>
            </w:r>
          </w:p>
        </w:tc>
      </w:tr>
      <w:tr>
        <w:tblPrEx/>
        <w:trPr>
          <w:jc w:val="center"/>
          <w:trHeight w:val="132"/>
        </w:trPr>
        <w:tc>
          <w:tcPr>
            <w:tcW w:w="3397" w:type="dxa"/>
            <w:textDirection w:val="lrTb"/>
            <w:noWrap w:val="false"/>
          </w:tcPr>
          <w:p>
            <w:pPr>
              <w:rPr>
                <w:sz w:val="24"/>
                <w:szCs w:val="24"/>
              </w:rPr>
            </w:pPr>
            <w:r>
              <w:rPr>
                <w:sz w:val="24"/>
                <w:szCs w:val="24"/>
              </w:rPr>
              <w:t xml:space="preserve">Управление аутригерами</w:t>
            </w:r>
            <w:r>
              <w:rPr>
                <w:sz w:val="24"/>
                <w:szCs w:val="24"/>
              </w:rPr>
            </w:r>
          </w:p>
        </w:tc>
        <w:tc>
          <w:tcPr>
            <w:tcW w:w="3402" w:type="dxa"/>
            <w:textDirection w:val="lrTb"/>
            <w:noWrap w:val="false"/>
          </w:tcPr>
          <w:p>
            <w:pPr>
              <w:rPr>
                <w:sz w:val="24"/>
                <w:szCs w:val="24"/>
              </w:rPr>
            </w:pPr>
            <w:r>
              <w:rPr>
                <w:sz w:val="24"/>
                <w:szCs w:val="24"/>
              </w:rPr>
              <w:t xml:space="preserve">Гидравлическое пропорциональное</w:t>
            </w:r>
            <w:r>
              <w:rPr>
                <w:sz w:val="24"/>
                <w:szCs w:val="24"/>
              </w:rPr>
            </w:r>
          </w:p>
        </w:tc>
        <w:tc>
          <w:tcPr>
            <w:tcBorders>
              <w:top w:val="single" w:color="000000" w:sz="4" w:space="0"/>
              <w:left w:val="single" w:color="000000" w:sz="4" w:space="0"/>
              <w:bottom w:val="single" w:color="000000" w:sz="4" w:space="0"/>
              <w:right w:val="single" w:color="000000" w:sz="4" w:space="0"/>
            </w:tcBorders>
            <w:tcW w:w="3686" w:type="dxa"/>
            <w:textDirection w:val="lrTb"/>
            <w:noWrap w:val="false"/>
          </w:tcPr>
          <w:p>
            <w:pPr>
              <w:rPr>
                <w:sz w:val="24"/>
                <w:szCs w:val="24"/>
                <w:highlight w:val="yellow"/>
              </w:rPr>
            </w:pPr>
            <w:r>
              <w:rPr>
                <w:sz w:val="24"/>
                <w:szCs w:val="24"/>
                <w:highlight w:val="yellow"/>
              </w:rPr>
            </w:r>
            <w:r>
              <w:rPr>
                <w:sz w:val="24"/>
                <w:szCs w:val="24"/>
                <w:highlight w:val="yellow"/>
              </w:rPr>
            </w:r>
          </w:p>
        </w:tc>
      </w:tr>
      <w:tr>
        <w:tblPrEx/>
        <w:trPr>
          <w:jc w:val="center"/>
          <w:trHeight w:val="132"/>
        </w:trPr>
        <w:tc>
          <w:tcPr>
            <w:tcW w:w="3397" w:type="dxa"/>
            <w:textDirection w:val="lrTb"/>
            <w:noWrap w:val="false"/>
          </w:tcPr>
          <w:p>
            <w:pPr>
              <w:rPr>
                <w:sz w:val="24"/>
                <w:szCs w:val="24"/>
              </w:rPr>
            </w:pPr>
            <w:r>
              <w:rPr>
                <w:sz w:val="24"/>
                <w:szCs w:val="24"/>
              </w:rPr>
              <w:t xml:space="preserve">Размещение пульта управления аутригерами</w:t>
            </w:r>
            <w:r>
              <w:rPr>
                <w:sz w:val="24"/>
                <w:szCs w:val="24"/>
              </w:rPr>
            </w:r>
          </w:p>
        </w:tc>
        <w:tc>
          <w:tcPr>
            <w:tcW w:w="3402" w:type="dxa"/>
            <w:textDirection w:val="lrTb"/>
            <w:noWrap w:val="false"/>
          </w:tcPr>
          <w:p>
            <w:pPr>
              <w:rPr>
                <w:sz w:val="24"/>
                <w:szCs w:val="24"/>
              </w:rPr>
            </w:pPr>
            <w:r>
              <w:rPr>
                <w:sz w:val="24"/>
                <w:szCs w:val="24"/>
              </w:rPr>
              <w:t xml:space="preserve">На стойке размещения стрелы в транспортном положении. </w:t>
            </w:r>
            <w:r>
              <w:rPr>
                <w:sz w:val="24"/>
                <w:szCs w:val="24"/>
              </w:rPr>
            </w:r>
          </w:p>
        </w:tc>
        <w:tc>
          <w:tcPr>
            <w:tcBorders>
              <w:top w:val="single" w:color="000000" w:sz="4" w:space="0"/>
              <w:left w:val="single" w:color="000000" w:sz="4" w:space="0"/>
              <w:bottom w:val="single" w:color="000000" w:sz="4" w:space="0"/>
              <w:right w:val="single" w:color="000000" w:sz="4" w:space="0"/>
            </w:tcBorders>
            <w:tcW w:w="3686" w:type="dxa"/>
            <w:textDirection w:val="lrTb"/>
            <w:noWrap w:val="false"/>
          </w:tcPr>
          <w:p>
            <w:pPr>
              <w:rPr>
                <w:sz w:val="24"/>
                <w:szCs w:val="24"/>
                <w:highlight w:val="yellow"/>
              </w:rPr>
            </w:pPr>
            <w:r>
              <w:rPr>
                <w:sz w:val="24"/>
                <w:szCs w:val="24"/>
                <w:highlight w:val="yellow"/>
              </w:rPr>
            </w:r>
            <w:r>
              <w:rPr>
                <w:sz w:val="24"/>
                <w:szCs w:val="24"/>
                <w:highlight w:val="yellow"/>
              </w:rPr>
            </w:r>
          </w:p>
        </w:tc>
      </w:tr>
      <w:tr>
        <w:tblPrEx/>
        <w:trPr>
          <w:jc w:val="center"/>
          <w:trHeight w:val="132"/>
        </w:trPr>
        <w:tc>
          <w:tcPr>
            <w:tcW w:w="3397" w:type="dxa"/>
            <w:textDirection w:val="lrTb"/>
            <w:noWrap w:val="false"/>
          </w:tcPr>
          <w:p>
            <w:pPr>
              <w:rPr>
                <w:sz w:val="24"/>
                <w:szCs w:val="24"/>
              </w:rPr>
            </w:pPr>
            <w:r>
              <w:rPr>
                <w:sz w:val="24"/>
                <w:szCs w:val="24"/>
              </w:rPr>
              <w:t xml:space="preserve">Настил платформы АГП</w:t>
            </w:r>
            <w:r>
              <w:rPr>
                <w:sz w:val="24"/>
                <w:szCs w:val="24"/>
              </w:rPr>
            </w:r>
          </w:p>
        </w:tc>
        <w:tc>
          <w:tcPr>
            <w:tcW w:w="3402" w:type="dxa"/>
            <w:textDirection w:val="lrTb"/>
            <w:noWrap w:val="false"/>
          </w:tcPr>
          <w:p>
            <w:pPr>
              <w:rPr>
                <w:sz w:val="24"/>
                <w:szCs w:val="24"/>
              </w:rPr>
            </w:pPr>
            <w:r>
              <w:rPr>
                <w:sz w:val="24"/>
                <w:szCs w:val="24"/>
              </w:rPr>
              <w:t xml:space="preserve">Усиленный Алюминий</w:t>
            </w:r>
            <w:r>
              <w:rPr>
                <w:sz w:val="24"/>
                <w:szCs w:val="24"/>
              </w:rPr>
            </w:r>
          </w:p>
        </w:tc>
        <w:tc>
          <w:tcPr>
            <w:tcBorders>
              <w:top w:val="single" w:color="000000" w:sz="4" w:space="0"/>
              <w:left w:val="single" w:color="000000" w:sz="4" w:space="0"/>
              <w:bottom w:val="single" w:color="000000" w:sz="4" w:space="0"/>
              <w:right w:val="single" w:color="000000" w:sz="4" w:space="0"/>
            </w:tcBorders>
            <w:tcW w:w="3686" w:type="dxa"/>
            <w:textDirection w:val="lrTb"/>
            <w:noWrap w:val="false"/>
          </w:tcPr>
          <w:p>
            <w:pPr>
              <w:rPr>
                <w:sz w:val="24"/>
                <w:szCs w:val="24"/>
                <w:highlight w:val="yellow"/>
              </w:rPr>
            </w:pPr>
            <w:r>
              <w:rPr>
                <w:sz w:val="24"/>
                <w:szCs w:val="24"/>
                <w:highlight w:val="yellow"/>
              </w:rPr>
            </w:r>
            <w:r>
              <w:rPr>
                <w:sz w:val="24"/>
                <w:szCs w:val="24"/>
                <w:highlight w:val="yellow"/>
              </w:rPr>
            </w:r>
          </w:p>
        </w:tc>
      </w:tr>
      <w:tr>
        <w:tblPrEx/>
        <w:trPr>
          <w:jc w:val="center"/>
          <w:trHeight w:val="132"/>
        </w:trPr>
        <w:tc>
          <w:tcPr>
            <w:tcW w:w="3397" w:type="dxa"/>
            <w:textDirection w:val="lrTb"/>
            <w:noWrap w:val="false"/>
          </w:tcPr>
          <w:p>
            <w:pPr>
              <w:rPr>
                <w:sz w:val="24"/>
                <w:szCs w:val="24"/>
              </w:rPr>
            </w:pPr>
            <w:r>
              <w:rPr>
                <w:sz w:val="24"/>
                <w:szCs w:val="24"/>
              </w:rPr>
              <w:t xml:space="preserve">Габаритные размеры, м</w:t>
            </w:r>
            <w:r>
              <w:rPr>
                <w:sz w:val="24"/>
                <w:szCs w:val="24"/>
              </w:rPr>
            </w:r>
          </w:p>
        </w:tc>
        <w:tc>
          <w:tcPr>
            <w:tcW w:w="3402" w:type="dxa"/>
            <w:textDirection w:val="lrTb"/>
            <w:noWrap w:val="false"/>
          </w:tcPr>
          <w:p>
            <w:pPr>
              <w:rPr>
                <w:sz w:val="24"/>
                <w:szCs w:val="24"/>
              </w:rPr>
            </w:pPr>
            <w:r>
              <w:rPr>
                <w:sz w:val="24"/>
                <w:szCs w:val="24"/>
              </w:rPr>
              <w:t xml:space="preserve">Не более 8,0х2,5х3,5</w:t>
            </w:r>
            <w:r>
              <w:rPr>
                <w:sz w:val="24"/>
                <w:szCs w:val="24"/>
              </w:rPr>
            </w:r>
          </w:p>
        </w:tc>
        <w:tc>
          <w:tcPr>
            <w:tcBorders>
              <w:top w:val="single" w:color="000000" w:sz="4" w:space="0"/>
              <w:left w:val="single" w:color="000000" w:sz="4" w:space="0"/>
              <w:bottom w:val="single" w:color="000000" w:sz="4" w:space="0"/>
              <w:right w:val="single" w:color="000000" w:sz="4" w:space="0"/>
            </w:tcBorders>
            <w:tcW w:w="3686" w:type="dxa"/>
            <w:textDirection w:val="lrTb"/>
            <w:noWrap w:val="false"/>
          </w:tcPr>
          <w:p>
            <w:pPr>
              <w:rPr>
                <w:sz w:val="24"/>
                <w:szCs w:val="24"/>
              </w:rPr>
            </w:pPr>
            <w:r>
              <w:rPr>
                <w:sz w:val="24"/>
                <w:szCs w:val="24"/>
              </w:rPr>
            </w:r>
            <w:r>
              <w:rPr>
                <w:sz w:val="24"/>
                <w:szCs w:val="24"/>
              </w:rPr>
            </w:r>
          </w:p>
        </w:tc>
      </w:tr>
      <w:tr>
        <w:tblPrEx/>
        <w:trPr>
          <w:jc w:val="center"/>
          <w:trHeight w:val="132"/>
        </w:trPr>
        <w:tc>
          <w:tcPr>
            <w:tcW w:w="3397" w:type="dxa"/>
            <w:textDirection w:val="lrTb"/>
            <w:noWrap w:val="false"/>
          </w:tcPr>
          <w:p>
            <w:pPr>
              <w:rPr>
                <w:sz w:val="24"/>
                <w:szCs w:val="24"/>
              </w:rPr>
            </w:pPr>
            <w:r>
              <w:rPr>
                <w:sz w:val="24"/>
                <w:szCs w:val="24"/>
              </w:rPr>
              <w:t xml:space="preserve">Угол въезда, град</w:t>
            </w:r>
            <w:r>
              <w:rPr>
                <w:sz w:val="24"/>
                <w:szCs w:val="24"/>
              </w:rPr>
            </w:r>
          </w:p>
        </w:tc>
        <w:tc>
          <w:tcPr>
            <w:tcW w:w="3402" w:type="dxa"/>
            <w:textDirection w:val="lrTb"/>
            <w:noWrap w:val="false"/>
          </w:tcPr>
          <w:p>
            <w:pPr>
              <w:rPr>
                <w:sz w:val="24"/>
                <w:szCs w:val="24"/>
              </w:rPr>
            </w:pPr>
            <w:r>
              <w:rPr>
                <w:sz w:val="24"/>
                <w:szCs w:val="24"/>
              </w:rPr>
              <w:t xml:space="preserve">Передний не менее 50</w:t>
            </w:r>
            <w:r>
              <w:rPr>
                <w:sz w:val="24"/>
                <w:szCs w:val="24"/>
              </w:rPr>
            </w:r>
          </w:p>
          <w:p>
            <w:pPr>
              <w:rPr>
                <w:sz w:val="24"/>
                <w:szCs w:val="24"/>
              </w:rPr>
            </w:pPr>
            <w:r>
              <w:rPr>
                <w:sz w:val="24"/>
                <w:szCs w:val="24"/>
              </w:rPr>
              <w:t xml:space="preserve">Задний  не менее 26</w:t>
            </w:r>
            <w:r>
              <w:rPr>
                <w:sz w:val="24"/>
                <w:szCs w:val="24"/>
              </w:rPr>
            </w:r>
          </w:p>
        </w:tc>
        <w:tc>
          <w:tcPr>
            <w:tcBorders>
              <w:top w:val="single" w:color="000000" w:sz="4" w:space="0"/>
              <w:left w:val="single" w:color="000000" w:sz="4" w:space="0"/>
              <w:bottom w:val="single" w:color="000000" w:sz="4" w:space="0"/>
              <w:right w:val="single" w:color="000000" w:sz="4" w:space="0"/>
            </w:tcBorders>
            <w:tcW w:w="3686" w:type="dxa"/>
            <w:textDirection w:val="lrTb"/>
            <w:noWrap w:val="false"/>
          </w:tcPr>
          <w:p>
            <w:pPr>
              <w:rPr>
                <w:sz w:val="24"/>
                <w:szCs w:val="24"/>
              </w:rPr>
            </w:pPr>
            <w:r>
              <w:rPr>
                <w:sz w:val="24"/>
                <w:szCs w:val="24"/>
              </w:rPr>
            </w:r>
            <w:r>
              <w:rPr>
                <w:sz w:val="24"/>
                <w:szCs w:val="24"/>
              </w:rPr>
            </w:r>
          </w:p>
        </w:tc>
      </w:tr>
      <w:tr>
        <w:tblPrEx/>
        <w:trPr>
          <w:jc w:val="center"/>
          <w:trHeight w:val="132"/>
        </w:trPr>
        <w:tc>
          <w:tcPr>
            <w:tcW w:w="3397" w:type="dxa"/>
            <w:textDirection w:val="lrTb"/>
            <w:noWrap w:val="false"/>
          </w:tcPr>
          <w:p>
            <w:pPr>
              <w:rPr>
                <w:sz w:val="24"/>
                <w:szCs w:val="24"/>
              </w:rPr>
            </w:pPr>
            <w:r>
              <w:rPr>
                <w:sz w:val="24"/>
                <w:szCs w:val="24"/>
              </w:rPr>
              <w:t xml:space="preserve">Алюминиевый борт по периметру платформы АГП</w:t>
            </w:r>
            <w:r>
              <w:rPr>
                <w:sz w:val="24"/>
                <w:szCs w:val="24"/>
              </w:rPr>
            </w:r>
          </w:p>
        </w:tc>
        <w:tc>
          <w:tcPr>
            <w:tcW w:w="3402" w:type="dxa"/>
            <w:textDirection w:val="lrTb"/>
            <w:noWrap w:val="false"/>
          </w:tcPr>
          <w:p>
            <w:pPr>
              <w:rPr>
                <w:sz w:val="24"/>
                <w:szCs w:val="24"/>
              </w:rPr>
            </w:pPr>
            <w:r>
              <w:rPr>
                <w:sz w:val="24"/>
                <w:szCs w:val="24"/>
              </w:rPr>
              <w:t xml:space="preserve">Наличие</w:t>
            </w:r>
            <w:r>
              <w:rPr>
                <w:sz w:val="24"/>
                <w:szCs w:val="24"/>
              </w:rPr>
            </w:r>
          </w:p>
        </w:tc>
        <w:tc>
          <w:tcPr>
            <w:tcBorders>
              <w:top w:val="single" w:color="000000" w:sz="4" w:space="0"/>
              <w:left w:val="single" w:color="000000" w:sz="4" w:space="0"/>
              <w:bottom w:val="single" w:color="000000" w:sz="4" w:space="0"/>
              <w:right w:val="single" w:color="000000" w:sz="4" w:space="0"/>
            </w:tcBorders>
            <w:tcW w:w="3686" w:type="dxa"/>
            <w:textDirection w:val="lrTb"/>
            <w:noWrap w:val="false"/>
          </w:tcPr>
          <w:p>
            <w:pPr>
              <w:rPr>
                <w:sz w:val="24"/>
                <w:szCs w:val="24"/>
              </w:rPr>
            </w:pPr>
            <w:r>
              <w:rPr>
                <w:sz w:val="24"/>
                <w:szCs w:val="24"/>
              </w:rPr>
            </w:r>
            <w:r>
              <w:rPr>
                <w:sz w:val="24"/>
                <w:szCs w:val="24"/>
              </w:rPr>
            </w:r>
          </w:p>
        </w:tc>
      </w:tr>
      <w:tr>
        <w:tblPrEx/>
        <w:trPr>
          <w:jc w:val="center"/>
          <w:trHeight w:val="132"/>
        </w:trPr>
        <w:tc>
          <w:tcPr>
            <w:tcW w:w="3397" w:type="dxa"/>
            <w:textDirection w:val="lrTb"/>
            <w:noWrap w:val="false"/>
          </w:tcPr>
          <w:p>
            <w:pPr>
              <w:rPr>
                <w:sz w:val="24"/>
                <w:szCs w:val="24"/>
              </w:rPr>
            </w:pPr>
            <w:r>
              <w:rPr>
                <w:sz w:val="24"/>
                <w:szCs w:val="24"/>
              </w:rPr>
              <w:t xml:space="preserve">Усиление рамы базового шасси от передних до задних рессор</w:t>
            </w:r>
            <w:r>
              <w:rPr>
                <w:sz w:val="24"/>
                <w:szCs w:val="24"/>
              </w:rPr>
            </w:r>
          </w:p>
        </w:tc>
        <w:tc>
          <w:tcPr>
            <w:tcW w:w="3402" w:type="dxa"/>
            <w:textDirection w:val="lrTb"/>
            <w:noWrap w:val="false"/>
          </w:tcPr>
          <w:p>
            <w:pPr>
              <w:rPr>
                <w:sz w:val="24"/>
                <w:szCs w:val="24"/>
              </w:rPr>
            </w:pPr>
            <w:r>
              <w:rPr>
                <w:sz w:val="24"/>
                <w:szCs w:val="24"/>
              </w:rPr>
              <w:t xml:space="preserve">Наличие</w:t>
            </w:r>
            <w:r>
              <w:rPr>
                <w:sz w:val="24"/>
                <w:szCs w:val="24"/>
              </w:rPr>
            </w:r>
          </w:p>
        </w:tc>
        <w:tc>
          <w:tcPr>
            <w:tcBorders>
              <w:top w:val="single" w:color="000000" w:sz="4" w:space="0"/>
              <w:left w:val="single" w:color="000000" w:sz="4" w:space="0"/>
              <w:bottom w:val="single" w:color="000000" w:sz="4" w:space="0"/>
              <w:right w:val="single" w:color="000000" w:sz="4" w:space="0"/>
            </w:tcBorders>
            <w:tcW w:w="3686" w:type="dxa"/>
            <w:textDirection w:val="lrTb"/>
            <w:noWrap w:val="false"/>
          </w:tcPr>
          <w:p>
            <w:pPr>
              <w:rPr>
                <w:sz w:val="24"/>
                <w:szCs w:val="24"/>
              </w:rPr>
            </w:pPr>
            <w:r>
              <w:rPr>
                <w:sz w:val="24"/>
                <w:szCs w:val="24"/>
              </w:rPr>
            </w:r>
            <w:r>
              <w:rPr>
                <w:sz w:val="24"/>
                <w:szCs w:val="24"/>
              </w:rPr>
            </w:r>
          </w:p>
        </w:tc>
      </w:tr>
      <w:tr>
        <w:tblPrEx/>
        <w:trPr>
          <w:jc w:val="center"/>
          <w:trHeight w:val="132"/>
        </w:trPr>
        <w:tc>
          <w:tcPr>
            <w:tcW w:w="3397" w:type="dxa"/>
            <w:textDirection w:val="lrTb"/>
            <w:noWrap w:val="false"/>
          </w:tcPr>
          <w:p>
            <w:pPr>
              <w:rPr>
                <w:sz w:val="24"/>
                <w:szCs w:val="24"/>
              </w:rPr>
            </w:pPr>
            <w:r>
              <w:rPr>
                <w:sz w:val="24"/>
                <w:szCs w:val="24"/>
              </w:rPr>
              <w:t xml:space="preserve">Кнопка звукового сигнала на ПУ</w:t>
            </w:r>
            <w:r>
              <w:rPr>
                <w:sz w:val="24"/>
                <w:szCs w:val="24"/>
              </w:rPr>
            </w:r>
          </w:p>
        </w:tc>
        <w:tc>
          <w:tcPr>
            <w:tcW w:w="3402" w:type="dxa"/>
            <w:textDirection w:val="lrTb"/>
            <w:noWrap w:val="false"/>
          </w:tcPr>
          <w:p>
            <w:pPr>
              <w:rPr>
                <w:sz w:val="24"/>
                <w:szCs w:val="24"/>
              </w:rPr>
            </w:pPr>
            <w:r>
              <w:rPr>
                <w:sz w:val="24"/>
                <w:szCs w:val="24"/>
              </w:rPr>
              <w:t xml:space="preserve">Наличие</w:t>
            </w:r>
            <w:r>
              <w:rPr>
                <w:sz w:val="24"/>
                <w:szCs w:val="24"/>
              </w:rPr>
            </w:r>
          </w:p>
        </w:tc>
        <w:tc>
          <w:tcPr>
            <w:tcBorders>
              <w:top w:val="single" w:color="000000" w:sz="4" w:space="0"/>
              <w:left w:val="single" w:color="000000" w:sz="4" w:space="0"/>
              <w:bottom w:val="single" w:color="000000" w:sz="4" w:space="0"/>
              <w:right w:val="single" w:color="000000" w:sz="4" w:space="0"/>
            </w:tcBorders>
            <w:tcW w:w="3686" w:type="dxa"/>
            <w:textDirection w:val="lrTb"/>
            <w:noWrap w:val="false"/>
          </w:tcPr>
          <w:p>
            <w:pPr>
              <w:rPr>
                <w:sz w:val="24"/>
                <w:szCs w:val="24"/>
              </w:rPr>
            </w:pPr>
            <w:r>
              <w:rPr>
                <w:sz w:val="24"/>
                <w:szCs w:val="24"/>
              </w:rPr>
            </w:r>
            <w:r>
              <w:rPr>
                <w:sz w:val="24"/>
                <w:szCs w:val="24"/>
              </w:rPr>
            </w:r>
          </w:p>
        </w:tc>
      </w:tr>
      <w:tr>
        <w:tblPrEx/>
        <w:trPr>
          <w:jc w:val="center"/>
          <w:trHeight w:val="60"/>
        </w:trPr>
        <w:tc>
          <w:tcPr>
            <w:tcW w:w="3397" w:type="dxa"/>
            <w:textDirection w:val="lrTb"/>
            <w:noWrap w:val="false"/>
          </w:tcPr>
          <w:p>
            <w:pPr>
              <w:rPr>
                <w:sz w:val="24"/>
                <w:szCs w:val="24"/>
              </w:rPr>
            </w:pPr>
            <w:r>
              <w:rPr>
                <w:sz w:val="24"/>
                <w:szCs w:val="24"/>
              </w:rPr>
              <w:t xml:space="preserve">Счётчик моточасов</w:t>
            </w:r>
            <w:r>
              <w:rPr>
                <w:sz w:val="24"/>
                <w:szCs w:val="24"/>
              </w:rPr>
            </w:r>
          </w:p>
        </w:tc>
        <w:tc>
          <w:tcPr>
            <w:tcW w:w="3402" w:type="dxa"/>
            <w:textDirection w:val="lrTb"/>
            <w:noWrap w:val="false"/>
          </w:tcPr>
          <w:p>
            <w:pPr>
              <w:rPr>
                <w:sz w:val="24"/>
                <w:szCs w:val="24"/>
              </w:rPr>
            </w:pPr>
            <w:r>
              <w:rPr>
                <w:sz w:val="24"/>
                <w:szCs w:val="24"/>
              </w:rPr>
              <w:t xml:space="preserve">Наличие</w:t>
            </w:r>
            <w:r>
              <w:rPr>
                <w:sz w:val="24"/>
                <w:szCs w:val="24"/>
              </w:rPr>
            </w:r>
          </w:p>
        </w:tc>
        <w:tc>
          <w:tcPr>
            <w:tcBorders>
              <w:top w:val="single" w:color="000000" w:sz="4" w:space="0"/>
              <w:left w:val="single" w:color="000000" w:sz="4" w:space="0"/>
              <w:bottom w:val="single" w:color="000000" w:sz="4" w:space="0"/>
              <w:right w:val="single" w:color="000000" w:sz="4" w:space="0"/>
            </w:tcBorders>
            <w:tcW w:w="3686" w:type="dxa"/>
            <w:textDirection w:val="lrTb"/>
            <w:noWrap w:val="false"/>
          </w:tcPr>
          <w:p>
            <w:pPr>
              <w:rPr>
                <w:sz w:val="24"/>
                <w:szCs w:val="24"/>
              </w:rPr>
            </w:pPr>
            <w:r>
              <w:rPr>
                <w:sz w:val="24"/>
                <w:szCs w:val="24"/>
              </w:rPr>
            </w:r>
            <w:r>
              <w:rPr>
                <w:sz w:val="24"/>
                <w:szCs w:val="24"/>
              </w:rPr>
            </w:r>
          </w:p>
        </w:tc>
      </w:tr>
      <w:tr>
        <w:tblPrEx/>
        <w:trPr>
          <w:jc w:val="center"/>
          <w:trHeight w:val="60"/>
        </w:trPr>
        <w:tc>
          <w:tcPr>
            <w:tcW w:w="3397" w:type="dxa"/>
            <w:textDirection w:val="lrTb"/>
            <w:noWrap w:val="false"/>
          </w:tcPr>
          <w:p>
            <w:pPr>
              <w:rPr>
                <w:sz w:val="24"/>
                <w:szCs w:val="24"/>
              </w:rPr>
            </w:pPr>
            <w:r>
              <w:rPr>
                <w:sz w:val="24"/>
                <w:szCs w:val="24"/>
              </w:rPr>
              <w:t xml:space="preserve">Аварийный насос</w:t>
            </w:r>
            <w:r>
              <w:rPr>
                <w:sz w:val="24"/>
                <w:szCs w:val="24"/>
              </w:rPr>
            </w:r>
          </w:p>
        </w:tc>
        <w:tc>
          <w:tcPr>
            <w:tcW w:w="3402" w:type="dxa"/>
            <w:textDirection w:val="lrTb"/>
            <w:noWrap w:val="false"/>
          </w:tcPr>
          <w:p>
            <w:pPr>
              <w:rPr>
                <w:sz w:val="24"/>
                <w:szCs w:val="24"/>
              </w:rPr>
            </w:pPr>
            <w:r>
              <w:rPr>
                <w:sz w:val="24"/>
                <w:szCs w:val="24"/>
              </w:rPr>
              <w:t xml:space="preserve">Наличие</w:t>
            </w:r>
            <w:r>
              <w:rPr>
                <w:sz w:val="24"/>
                <w:szCs w:val="24"/>
              </w:rPr>
            </w:r>
          </w:p>
        </w:tc>
        <w:tc>
          <w:tcPr>
            <w:tcBorders>
              <w:top w:val="single" w:color="000000" w:sz="4" w:space="0"/>
              <w:left w:val="single" w:color="000000" w:sz="4" w:space="0"/>
              <w:bottom w:val="single" w:color="000000" w:sz="4" w:space="0"/>
              <w:right w:val="single" w:color="000000" w:sz="4" w:space="0"/>
            </w:tcBorders>
            <w:tcW w:w="3686" w:type="dxa"/>
            <w:textDirection w:val="lrTb"/>
            <w:noWrap w:val="false"/>
          </w:tcPr>
          <w:p>
            <w:pPr>
              <w:rPr>
                <w:sz w:val="24"/>
                <w:szCs w:val="24"/>
              </w:rPr>
            </w:pPr>
            <w:r>
              <w:rPr>
                <w:sz w:val="24"/>
                <w:szCs w:val="24"/>
              </w:rPr>
            </w:r>
            <w:r>
              <w:rPr>
                <w:sz w:val="24"/>
                <w:szCs w:val="24"/>
              </w:rPr>
            </w:r>
          </w:p>
        </w:tc>
      </w:tr>
      <w:tr>
        <w:tblPrEx/>
        <w:trPr>
          <w:jc w:val="center"/>
          <w:trHeight w:val="60"/>
        </w:trPr>
        <w:tc>
          <w:tcPr>
            <w:tcW w:w="3397" w:type="dxa"/>
            <w:textDirection w:val="lrTb"/>
            <w:noWrap w:val="false"/>
          </w:tcPr>
          <w:p>
            <w:pPr>
              <w:rPr>
                <w:sz w:val="24"/>
                <w:szCs w:val="24"/>
              </w:rPr>
            </w:pPr>
            <w:r>
              <w:rPr>
                <w:sz w:val="24"/>
                <w:szCs w:val="24"/>
              </w:rPr>
              <w:t xml:space="preserve">Пуск/стоп двигателя из рабочей платформы</w:t>
            </w:r>
            <w:r>
              <w:rPr>
                <w:sz w:val="24"/>
                <w:szCs w:val="24"/>
              </w:rPr>
            </w:r>
          </w:p>
        </w:tc>
        <w:tc>
          <w:tcPr>
            <w:tcW w:w="3402" w:type="dxa"/>
            <w:textDirection w:val="lrTb"/>
            <w:noWrap w:val="false"/>
          </w:tcPr>
          <w:p>
            <w:pPr>
              <w:rPr>
                <w:sz w:val="24"/>
                <w:szCs w:val="24"/>
              </w:rPr>
            </w:pPr>
            <w:r>
              <w:rPr>
                <w:sz w:val="24"/>
                <w:szCs w:val="24"/>
              </w:rPr>
              <w:t xml:space="preserve">Наличие</w:t>
            </w:r>
            <w:r>
              <w:rPr>
                <w:sz w:val="24"/>
                <w:szCs w:val="24"/>
              </w:rPr>
            </w:r>
          </w:p>
        </w:tc>
        <w:tc>
          <w:tcPr>
            <w:tcBorders>
              <w:top w:val="single" w:color="000000" w:sz="4" w:space="0"/>
              <w:left w:val="single" w:color="000000" w:sz="4" w:space="0"/>
              <w:bottom w:val="single" w:color="000000" w:sz="4" w:space="0"/>
              <w:right w:val="single" w:color="000000" w:sz="4" w:space="0"/>
            </w:tcBorders>
            <w:tcW w:w="3686" w:type="dxa"/>
            <w:textDirection w:val="lrTb"/>
            <w:noWrap w:val="false"/>
          </w:tcPr>
          <w:p>
            <w:pPr>
              <w:rPr>
                <w:sz w:val="24"/>
                <w:szCs w:val="24"/>
              </w:rPr>
            </w:pPr>
            <w:r>
              <w:rPr>
                <w:sz w:val="24"/>
                <w:szCs w:val="24"/>
              </w:rPr>
            </w:r>
            <w:r>
              <w:rPr>
                <w:sz w:val="24"/>
                <w:szCs w:val="24"/>
              </w:rPr>
            </w:r>
          </w:p>
        </w:tc>
      </w:tr>
      <w:tr>
        <w:tblPrEx/>
        <w:trPr>
          <w:jc w:val="center"/>
          <w:trHeight w:val="60"/>
        </w:trPr>
        <w:tc>
          <w:tcPr>
            <w:tcW w:w="3397" w:type="dxa"/>
            <w:textDirection w:val="lrTb"/>
            <w:noWrap w:val="false"/>
          </w:tcPr>
          <w:p>
            <w:pPr>
              <w:rPr>
                <w:sz w:val="24"/>
                <w:szCs w:val="24"/>
              </w:rPr>
            </w:pPr>
            <w:r>
              <w:rPr>
                <w:sz w:val="24"/>
                <w:szCs w:val="24"/>
              </w:rPr>
              <w:t xml:space="preserve">Ограничитель нагрузки в рабочей платформе</w:t>
            </w:r>
            <w:r>
              <w:rPr>
                <w:sz w:val="24"/>
                <w:szCs w:val="24"/>
              </w:rPr>
            </w:r>
          </w:p>
        </w:tc>
        <w:tc>
          <w:tcPr>
            <w:tcW w:w="3402" w:type="dxa"/>
            <w:textDirection w:val="lrTb"/>
            <w:noWrap w:val="false"/>
          </w:tcPr>
          <w:p>
            <w:pPr>
              <w:rPr>
                <w:sz w:val="24"/>
                <w:szCs w:val="24"/>
              </w:rPr>
            </w:pPr>
            <w:r>
              <w:rPr>
                <w:sz w:val="24"/>
                <w:szCs w:val="24"/>
              </w:rPr>
              <w:t xml:space="preserve">Наличие</w:t>
            </w:r>
            <w:r>
              <w:rPr>
                <w:sz w:val="24"/>
                <w:szCs w:val="24"/>
              </w:rPr>
            </w:r>
          </w:p>
        </w:tc>
        <w:tc>
          <w:tcPr>
            <w:tcBorders>
              <w:top w:val="single" w:color="000000" w:sz="4" w:space="0"/>
              <w:left w:val="single" w:color="000000" w:sz="4" w:space="0"/>
              <w:bottom w:val="single" w:color="000000" w:sz="4" w:space="0"/>
              <w:right w:val="single" w:color="000000" w:sz="4" w:space="0"/>
            </w:tcBorders>
            <w:tcW w:w="3686" w:type="dxa"/>
            <w:textDirection w:val="lrTb"/>
            <w:noWrap w:val="false"/>
          </w:tcPr>
          <w:p>
            <w:pPr>
              <w:rPr>
                <w:sz w:val="24"/>
                <w:szCs w:val="24"/>
              </w:rPr>
            </w:pPr>
            <w:r>
              <w:rPr>
                <w:sz w:val="24"/>
                <w:szCs w:val="24"/>
              </w:rPr>
            </w:r>
            <w:r>
              <w:rPr>
                <w:sz w:val="24"/>
                <w:szCs w:val="24"/>
              </w:rPr>
            </w:r>
          </w:p>
        </w:tc>
      </w:tr>
      <w:tr>
        <w:tblPrEx/>
        <w:trPr>
          <w:jc w:val="center"/>
          <w:trHeight w:val="60"/>
        </w:trPr>
        <w:tc>
          <w:tcPr>
            <w:gridSpan w:val="3"/>
            <w:tcW w:w="10485" w:type="dxa"/>
            <w:textDirection w:val="lrTb"/>
            <w:noWrap w:val="false"/>
          </w:tcPr>
          <w:p>
            <w:pPr>
              <w:jc w:val="center"/>
              <w:rPr>
                <w:sz w:val="24"/>
                <w:szCs w:val="24"/>
              </w:rPr>
            </w:pPr>
            <w:r>
              <w:rPr>
                <w:sz w:val="24"/>
                <w:szCs w:val="24"/>
              </w:rPr>
              <w:t xml:space="preserve">Дополнительное оборудование и комплектующие</w:t>
            </w:r>
            <w:r>
              <w:rPr>
                <w:sz w:val="24"/>
                <w:szCs w:val="24"/>
              </w:rPr>
            </w:r>
          </w:p>
        </w:tc>
      </w:tr>
      <w:tr>
        <w:tblPrEx/>
        <w:trPr>
          <w:jc w:val="center"/>
          <w:trHeight w:val="60"/>
        </w:trPr>
        <w:tc>
          <w:tcPr>
            <w:tcW w:w="3397" w:type="dxa"/>
            <w:textDirection w:val="lrTb"/>
            <w:noWrap w:val="false"/>
          </w:tcPr>
          <w:p>
            <w:pPr>
              <w:jc w:val="both"/>
              <w:rPr>
                <w:sz w:val="24"/>
                <w:szCs w:val="24"/>
              </w:rPr>
            </w:pPr>
            <w:r>
              <w:rPr>
                <w:sz w:val="24"/>
                <w:szCs w:val="24"/>
              </w:rPr>
              <w:t xml:space="preserve">Алюминиевый борт по периметру платформы</w:t>
            </w:r>
            <w:r>
              <w:rPr>
                <w:sz w:val="24"/>
                <w:szCs w:val="24"/>
              </w:rPr>
            </w:r>
          </w:p>
        </w:tc>
        <w:tc>
          <w:tcPr>
            <w:tcW w:w="3402" w:type="dxa"/>
            <w:vAlign w:val="center"/>
            <w:textDirection w:val="lrTb"/>
            <w:noWrap w:val="false"/>
          </w:tcPr>
          <w:p>
            <w:pPr>
              <w:rPr>
                <w:sz w:val="24"/>
                <w:szCs w:val="24"/>
              </w:rPr>
            </w:pPr>
            <w:r>
              <w:rPr>
                <w:sz w:val="24"/>
                <w:szCs w:val="24"/>
              </w:rPr>
              <w:t xml:space="preserve">Наличие</w:t>
            </w:r>
            <w:r>
              <w:rPr>
                <w:sz w:val="24"/>
                <w:szCs w:val="24"/>
              </w:rPr>
            </w:r>
          </w:p>
        </w:tc>
        <w:tc>
          <w:tcPr>
            <w:tcW w:w="3686" w:type="dxa"/>
            <w:textDirection w:val="lrTb"/>
            <w:noWrap w:val="false"/>
          </w:tcPr>
          <w:p>
            <w:pPr>
              <w:jc w:val="center"/>
              <w:rPr>
                <w:sz w:val="24"/>
                <w:szCs w:val="24"/>
              </w:rPr>
            </w:pPr>
            <w:r>
              <w:rPr>
                <w:sz w:val="24"/>
                <w:szCs w:val="24"/>
              </w:rPr>
            </w:r>
            <w:r>
              <w:rPr>
                <w:sz w:val="24"/>
                <w:szCs w:val="24"/>
              </w:rPr>
            </w:r>
          </w:p>
        </w:tc>
      </w:tr>
      <w:tr>
        <w:tblPrEx/>
        <w:trPr>
          <w:jc w:val="center"/>
          <w:trHeight w:val="60"/>
        </w:trPr>
        <w:tc>
          <w:tcPr>
            <w:tcW w:w="3397" w:type="dxa"/>
            <w:textDirection w:val="lrTb"/>
            <w:noWrap w:val="false"/>
          </w:tcPr>
          <w:p>
            <w:pPr>
              <w:jc w:val="both"/>
              <w:rPr>
                <w:sz w:val="24"/>
                <w:szCs w:val="24"/>
              </w:rPr>
            </w:pPr>
            <w:r>
              <w:rPr>
                <w:sz w:val="24"/>
                <w:szCs w:val="24"/>
              </w:rPr>
              <w:t xml:space="preserve">Маяк</w:t>
            </w:r>
            <w:r>
              <w:rPr>
                <w:sz w:val="24"/>
                <w:szCs w:val="24"/>
              </w:rPr>
            </w:r>
          </w:p>
        </w:tc>
        <w:tc>
          <w:tcPr>
            <w:tcW w:w="3402" w:type="dxa"/>
            <w:vAlign w:val="center"/>
            <w:textDirection w:val="lrTb"/>
            <w:noWrap w:val="false"/>
          </w:tcPr>
          <w:p>
            <w:pPr>
              <w:rPr>
                <w:sz w:val="24"/>
                <w:szCs w:val="24"/>
              </w:rPr>
            </w:pPr>
            <w:r>
              <w:rPr>
                <w:sz w:val="24"/>
                <w:szCs w:val="24"/>
              </w:rPr>
              <w:t xml:space="preserve">Наличие</w:t>
            </w:r>
            <w:r>
              <w:rPr>
                <w:sz w:val="24"/>
                <w:szCs w:val="24"/>
              </w:rPr>
            </w:r>
          </w:p>
        </w:tc>
        <w:tc>
          <w:tcPr>
            <w:tcW w:w="3686" w:type="dxa"/>
            <w:textDirection w:val="lrTb"/>
            <w:noWrap w:val="false"/>
          </w:tcPr>
          <w:p>
            <w:pPr>
              <w:jc w:val="center"/>
              <w:rPr>
                <w:sz w:val="24"/>
                <w:szCs w:val="24"/>
              </w:rPr>
            </w:pPr>
            <w:r>
              <w:rPr>
                <w:sz w:val="24"/>
                <w:szCs w:val="24"/>
              </w:rPr>
            </w:r>
            <w:r>
              <w:rPr>
                <w:sz w:val="24"/>
                <w:szCs w:val="24"/>
              </w:rPr>
            </w:r>
          </w:p>
        </w:tc>
      </w:tr>
      <w:tr>
        <w:tblPrEx/>
        <w:trPr>
          <w:jc w:val="center"/>
          <w:trHeight w:val="60"/>
        </w:trPr>
        <w:tc>
          <w:tcPr>
            <w:tcW w:w="3397" w:type="dxa"/>
            <w:textDirection w:val="lrTb"/>
            <w:noWrap w:val="false"/>
          </w:tcPr>
          <w:p>
            <w:pPr>
              <w:jc w:val="both"/>
              <w:rPr>
                <w:sz w:val="24"/>
                <w:szCs w:val="24"/>
              </w:rPr>
            </w:pPr>
            <w:r>
              <w:rPr>
                <w:sz w:val="24"/>
                <w:szCs w:val="24"/>
              </w:rPr>
              <w:t xml:space="preserve">Прожектор</w:t>
            </w:r>
            <w:r>
              <w:rPr>
                <w:sz w:val="24"/>
                <w:szCs w:val="24"/>
              </w:rPr>
            </w:r>
          </w:p>
        </w:tc>
        <w:tc>
          <w:tcPr>
            <w:tcW w:w="3402" w:type="dxa"/>
            <w:vAlign w:val="center"/>
            <w:textDirection w:val="lrTb"/>
            <w:noWrap w:val="false"/>
          </w:tcPr>
          <w:p>
            <w:pPr>
              <w:rPr>
                <w:sz w:val="24"/>
                <w:szCs w:val="24"/>
              </w:rPr>
            </w:pPr>
            <w:r>
              <w:rPr>
                <w:sz w:val="24"/>
                <w:szCs w:val="24"/>
              </w:rPr>
              <w:t xml:space="preserve">Наличие</w:t>
            </w:r>
            <w:r>
              <w:rPr>
                <w:sz w:val="24"/>
                <w:szCs w:val="24"/>
              </w:rPr>
            </w:r>
          </w:p>
        </w:tc>
        <w:tc>
          <w:tcPr>
            <w:tcW w:w="3686" w:type="dxa"/>
            <w:textDirection w:val="lrTb"/>
            <w:noWrap w:val="false"/>
          </w:tcPr>
          <w:p>
            <w:pPr>
              <w:jc w:val="center"/>
              <w:rPr>
                <w:sz w:val="24"/>
                <w:szCs w:val="24"/>
              </w:rPr>
            </w:pPr>
            <w:r>
              <w:rPr>
                <w:sz w:val="24"/>
                <w:szCs w:val="24"/>
              </w:rPr>
            </w:r>
            <w:r>
              <w:rPr>
                <w:sz w:val="24"/>
                <w:szCs w:val="24"/>
              </w:rPr>
            </w:r>
          </w:p>
        </w:tc>
      </w:tr>
      <w:tr>
        <w:tblPrEx/>
        <w:trPr>
          <w:jc w:val="center"/>
          <w:trHeight w:val="60"/>
        </w:trPr>
        <w:tc>
          <w:tcPr>
            <w:tcW w:w="3397" w:type="dxa"/>
            <w:textDirection w:val="lrTb"/>
            <w:noWrap w:val="false"/>
          </w:tcPr>
          <w:p>
            <w:pPr>
              <w:jc w:val="both"/>
              <w:rPr>
                <w:sz w:val="24"/>
                <w:szCs w:val="24"/>
              </w:rPr>
            </w:pPr>
            <w:r>
              <w:rPr>
                <w:sz w:val="24"/>
                <w:szCs w:val="24"/>
              </w:rPr>
              <w:t xml:space="preserve">Деревянные подкладки с местами их крепления</w:t>
            </w:r>
            <w:r>
              <w:rPr>
                <w:sz w:val="24"/>
                <w:szCs w:val="24"/>
              </w:rPr>
            </w:r>
          </w:p>
        </w:tc>
        <w:tc>
          <w:tcPr>
            <w:tcW w:w="3402" w:type="dxa"/>
            <w:vAlign w:val="center"/>
            <w:textDirection w:val="lrTb"/>
            <w:noWrap w:val="false"/>
          </w:tcPr>
          <w:p>
            <w:pPr>
              <w:rPr>
                <w:sz w:val="24"/>
                <w:szCs w:val="24"/>
              </w:rPr>
            </w:pPr>
            <w:r>
              <w:rPr>
                <w:sz w:val="24"/>
                <w:szCs w:val="24"/>
              </w:rPr>
              <w:t xml:space="preserve">Наличие</w:t>
            </w:r>
            <w:r>
              <w:rPr>
                <w:sz w:val="24"/>
                <w:szCs w:val="24"/>
              </w:rPr>
            </w:r>
          </w:p>
        </w:tc>
        <w:tc>
          <w:tcPr>
            <w:tcW w:w="3686" w:type="dxa"/>
            <w:textDirection w:val="lrTb"/>
            <w:noWrap w:val="false"/>
          </w:tcPr>
          <w:p>
            <w:pPr>
              <w:jc w:val="center"/>
              <w:rPr>
                <w:sz w:val="24"/>
                <w:szCs w:val="24"/>
              </w:rPr>
            </w:pPr>
            <w:r>
              <w:rPr>
                <w:sz w:val="24"/>
                <w:szCs w:val="24"/>
              </w:rPr>
            </w:r>
            <w:r>
              <w:rPr>
                <w:sz w:val="24"/>
                <w:szCs w:val="24"/>
              </w:rPr>
            </w:r>
          </w:p>
        </w:tc>
      </w:tr>
      <w:tr>
        <w:tblPrEx/>
        <w:trPr>
          <w:jc w:val="center"/>
          <w:trHeight w:val="517"/>
        </w:trPr>
        <w:tc>
          <w:tcPr>
            <w:tcW w:w="3397" w:type="dxa"/>
            <w:vMerge w:val="restart"/>
            <w:textDirection w:val="lrTb"/>
            <w:noWrap w:val="false"/>
          </w:tcPr>
          <w:p>
            <w:pPr>
              <w:jc w:val="both"/>
              <w:rPr>
                <w:sz w:val="24"/>
                <w:szCs w:val="24"/>
              </w:rPr>
            </w:pPr>
            <w:r>
              <w:rPr>
                <w:sz w:val="24"/>
                <w:szCs w:val="24"/>
                <w:lang w:val="ru-RU"/>
              </w:rPr>
              <w:t xml:space="preserve">Предпусковой подогреватель двигателя</w:t>
            </w:r>
            <w:r>
              <w:rPr>
                <w:sz w:val="24"/>
                <w:szCs w:val="24"/>
              </w:rPr>
            </w:r>
          </w:p>
        </w:tc>
        <w:tc>
          <w:tcPr>
            <w:tcW w:w="3402" w:type="dxa"/>
            <w:vAlign w:val="center"/>
            <w:vMerge w:val="restart"/>
            <w:textDirection w:val="lrTb"/>
            <w:noWrap w:val="false"/>
          </w:tcPr>
          <w:p>
            <w:pPr>
              <w:rPr>
                <w:sz w:val="24"/>
                <w:szCs w:val="24"/>
              </w:rPr>
            </w:pPr>
            <w:r>
              <w:rPr>
                <w:sz w:val="24"/>
                <w:szCs w:val="24"/>
              </w:rPr>
              <w:t xml:space="preserve">Наличие</w:t>
            </w:r>
            <w:r>
              <w:rPr>
                <w:sz w:val="24"/>
                <w:szCs w:val="24"/>
              </w:rPr>
            </w:r>
          </w:p>
        </w:tc>
        <w:tc>
          <w:tcPr>
            <w:tcW w:w="3686" w:type="dxa"/>
            <w:vMerge w:val="restart"/>
            <w:textDirection w:val="lrTb"/>
            <w:noWrap w:val="false"/>
          </w:tcPr>
          <w:p>
            <w:pPr>
              <w:jc w:val="center"/>
            </w:pPr>
            <w:r/>
            <w:r/>
          </w:p>
        </w:tc>
      </w:tr>
      <w:tr>
        <w:tblPrEx/>
        <w:trPr>
          <w:jc w:val="center"/>
          <w:trHeight w:val="517"/>
        </w:trPr>
        <w:tc>
          <w:tcPr>
            <w:tcW w:w="3397" w:type="dxa"/>
            <w:vMerge w:val="restart"/>
            <w:textDirection w:val="lrTb"/>
            <w:noWrap w:val="false"/>
          </w:tcPr>
          <w:p>
            <w:pPr>
              <w:jc w:val="both"/>
              <w:rPr>
                <w:sz w:val="24"/>
                <w:szCs w:val="24"/>
              </w:rPr>
            </w:pPr>
            <w:r>
              <w:rPr>
                <w:color w:val="000000"/>
                <w:sz w:val="24"/>
                <w:szCs w:val="24"/>
                <w:lang w:val="ru-RU"/>
              </w:rPr>
              <w:t xml:space="preserve">Аптечка </w:t>
            </w:r>
            <w:r>
              <w:rPr>
                <w:sz w:val="24"/>
                <w:szCs w:val="24"/>
              </w:rPr>
            </w:r>
          </w:p>
        </w:tc>
        <w:tc>
          <w:tcPr>
            <w:tcW w:w="3402" w:type="dxa"/>
            <w:vAlign w:val="center"/>
            <w:vMerge w:val="restart"/>
            <w:textDirection w:val="lrTb"/>
            <w:noWrap w:val="false"/>
          </w:tcPr>
          <w:p>
            <w:pPr>
              <w:rPr>
                <w:sz w:val="24"/>
                <w:szCs w:val="24"/>
              </w:rPr>
            </w:pPr>
            <w:r>
              <w:rPr>
                <w:sz w:val="24"/>
                <w:szCs w:val="24"/>
              </w:rPr>
              <w:t xml:space="preserve">Наличие</w:t>
            </w:r>
            <w:r>
              <w:rPr>
                <w:sz w:val="24"/>
                <w:szCs w:val="24"/>
              </w:rPr>
            </w:r>
          </w:p>
        </w:tc>
        <w:tc>
          <w:tcPr>
            <w:tcW w:w="3686" w:type="dxa"/>
            <w:vMerge w:val="restart"/>
            <w:textDirection w:val="lrTb"/>
            <w:noWrap w:val="false"/>
          </w:tcPr>
          <w:p>
            <w:pPr>
              <w:jc w:val="center"/>
            </w:pPr>
            <w:r/>
            <w:r/>
          </w:p>
        </w:tc>
      </w:tr>
      <w:tr>
        <w:tblPrEx/>
        <w:trPr>
          <w:jc w:val="center"/>
          <w:trHeight w:val="517"/>
        </w:trPr>
        <w:tc>
          <w:tcPr>
            <w:tcW w:w="3397" w:type="dxa"/>
            <w:vMerge w:val="restart"/>
            <w:textDirection w:val="lrTb"/>
            <w:noWrap w:val="false"/>
          </w:tcPr>
          <w:p>
            <w:pPr>
              <w:jc w:val="both"/>
              <w:rPr>
                <w:sz w:val="24"/>
                <w:szCs w:val="24"/>
              </w:rPr>
            </w:pPr>
            <w:r>
              <w:rPr>
                <w:color w:val="000000"/>
                <w:sz w:val="24"/>
                <w:szCs w:val="24"/>
                <w:lang w:val="ru-RU"/>
              </w:rPr>
              <w:t xml:space="preserve">Огнетушитель </w:t>
            </w:r>
            <w:r>
              <w:rPr>
                <w:sz w:val="24"/>
                <w:szCs w:val="24"/>
              </w:rPr>
            </w:r>
          </w:p>
        </w:tc>
        <w:tc>
          <w:tcPr>
            <w:tcW w:w="3402" w:type="dxa"/>
            <w:vAlign w:val="center"/>
            <w:vMerge w:val="restart"/>
            <w:textDirection w:val="lrTb"/>
            <w:noWrap w:val="false"/>
          </w:tcPr>
          <w:p>
            <w:pPr>
              <w:rPr>
                <w:sz w:val="24"/>
                <w:szCs w:val="24"/>
              </w:rPr>
            </w:pPr>
            <w:r>
              <w:rPr>
                <w:sz w:val="24"/>
                <w:szCs w:val="24"/>
              </w:rPr>
              <w:t xml:space="preserve">Наличие</w:t>
            </w:r>
            <w:r>
              <w:rPr>
                <w:sz w:val="24"/>
                <w:szCs w:val="24"/>
              </w:rPr>
            </w:r>
          </w:p>
        </w:tc>
        <w:tc>
          <w:tcPr>
            <w:tcW w:w="3686" w:type="dxa"/>
            <w:vMerge w:val="restart"/>
            <w:textDirection w:val="lrTb"/>
            <w:noWrap w:val="false"/>
          </w:tcPr>
          <w:p>
            <w:pPr>
              <w:jc w:val="center"/>
            </w:pPr>
            <w:r/>
            <w:r/>
          </w:p>
        </w:tc>
      </w:tr>
      <w:tr>
        <w:tblPrEx/>
        <w:trPr>
          <w:jc w:val="center"/>
          <w:trHeight w:val="517"/>
        </w:trPr>
        <w:tc>
          <w:tcPr>
            <w:tcW w:w="3397" w:type="dxa"/>
            <w:vMerge w:val="restart"/>
            <w:textDirection w:val="lrTb"/>
            <w:noWrap w:val="false"/>
          </w:tcPr>
          <w:p>
            <w:pPr>
              <w:jc w:val="both"/>
              <w:rPr>
                <w:sz w:val="24"/>
                <w:szCs w:val="24"/>
              </w:rPr>
            </w:pPr>
            <w:r>
              <w:rPr>
                <w:color w:val="000000"/>
                <w:sz w:val="24"/>
                <w:szCs w:val="24"/>
                <w:lang w:val="ru-RU"/>
              </w:rPr>
              <w:t xml:space="preserve">Знак аварийной остановки</w:t>
            </w:r>
            <w:r>
              <w:rPr>
                <w:sz w:val="24"/>
                <w:szCs w:val="24"/>
              </w:rPr>
            </w:r>
          </w:p>
        </w:tc>
        <w:tc>
          <w:tcPr>
            <w:tcW w:w="3402" w:type="dxa"/>
            <w:vAlign w:val="center"/>
            <w:vMerge w:val="restart"/>
            <w:textDirection w:val="lrTb"/>
            <w:noWrap w:val="false"/>
          </w:tcPr>
          <w:p>
            <w:pPr>
              <w:rPr>
                <w:sz w:val="24"/>
                <w:szCs w:val="24"/>
              </w:rPr>
            </w:pPr>
            <w:r>
              <w:rPr>
                <w:sz w:val="24"/>
                <w:szCs w:val="24"/>
              </w:rPr>
              <w:t xml:space="preserve">Наличие</w:t>
            </w:r>
            <w:r>
              <w:rPr>
                <w:sz w:val="24"/>
                <w:szCs w:val="24"/>
              </w:rPr>
            </w:r>
          </w:p>
        </w:tc>
        <w:tc>
          <w:tcPr>
            <w:tcW w:w="3686" w:type="dxa"/>
            <w:vMerge w:val="restart"/>
            <w:textDirection w:val="lrTb"/>
            <w:noWrap w:val="false"/>
          </w:tcPr>
          <w:p>
            <w:pPr>
              <w:jc w:val="center"/>
            </w:pPr>
            <w:r/>
            <w:r/>
          </w:p>
        </w:tc>
      </w:tr>
      <w:tr>
        <w:tblPrEx/>
        <w:trPr>
          <w:jc w:val="center"/>
          <w:trHeight w:val="517"/>
        </w:trPr>
        <w:tc>
          <w:tcPr>
            <w:tcW w:w="3397" w:type="dxa"/>
            <w:vMerge w:val="restart"/>
            <w:textDirection w:val="lrTb"/>
            <w:noWrap w:val="false"/>
          </w:tcPr>
          <w:p>
            <w:pPr>
              <w:jc w:val="both"/>
              <w:rPr>
                <w:sz w:val="24"/>
                <w:szCs w:val="24"/>
              </w:rPr>
            </w:pPr>
            <w:r>
              <w:rPr>
                <w:color w:val="000000"/>
                <w:sz w:val="24"/>
                <w:szCs w:val="24"/>
                <w:lang w:val="ru-RU"/>
              </w:rPr>
              <w:t xml:space="preserve">Домкрат</w:t>
            </w:r>
            <w:r>
              <w:rPr>
                <w:sz w:val="24"/>
                <w:szCs w:val="24"/>
              </w:rPr>
            </w:r>
          </w:p>
        </w:tc>
        <w:tc>
          <w:tcPr>
            <w:tcW w:w="3402" w:type="dxa"/>
            <w:vAlign w:val="center"/>
            <w:vMerge w:val="restart"/>
            <w:textDirection w:val="lrTb"/>
            <w:noWrap w:val="false"/>
          </w:tcPr>
          <w:p>
            <w:pPr>
              <w:rPr>
                <w:sz w:val="24"/>
                <w:szCs w:val="24"/>
              </w:rPr>
            </w:pPr>
            <w:r>
              <w:rPr>
                <w:sz w:val="24"/>
                <w:szCs w:val="24"/>
              </w:rPr>
              <w:t xml:space="preserve">Наличие</w:t>
            </w:r>
            <w:r>
              <w:rPr>
                <w:sz w:val="24"/>
                <w:szCs w:val="24"/>
              </w:rPr>
            </w:r>
          </w:p>
        </w:tc>
        <w:tc>
          <w:tcPr>
            <w:tcW w:w="3686" w:type="dxa"/>
            <w:vMerge w:val="restart"/>
            <w:textDirection w:val="lrTb"/>
            <w:noWrap w:val="false"/>
          </w:tcPr>
          <w:p>
            <w:pPr>
              <w:jc w:val="center"/>
            </w:pPr>
            <w:r/>
            <w:r/>
          </w:p>
        </w:tc>
      </w:tr>
      <w:tr>
        <w:tblPrEx/>
        <w:trPr>
          <w:jc w:val="center"/>
          <w:trHeight w:val="517"/>
        </w:trPr>
        <w:tc>
          <w:tcPr>
            <w:tcW w:w="3397" w:type="dxa"/>
            <w:vMerge w:val="restart"/>
            <w:textDirection w:val="lrTb"/>
            <w:noWrap w:val="false"/>
          </w:tcPr>
          <w:p>
            <w:pPr>
              <w:jc w:val="both"/>
              <w:rPr>
                <w:sz w:val="24"/>
                <w:szCs w:val="24"/>
              </w:rPr>
            </w:pPr>
            <w:r>
              <w:rPr>
                <w:color w:val="000000"/>
                <w:sz w:val="24"/>
                <w:szCs w:val="24"/>
                <w:lang w:val="ru-RU"/>
              </w:rPr>
              <w:t xml:space="preserve">Балонный ключ</w:t>
            </w:r>
            <w:r>
              <w:rPr>
                <w:sz w:val="24"/>
                <w:szCs w:val="24"/>
              </w:rPr>
            </w:r>
          </w:p>
        </w:tc>
        <w:tc>
          <w:tcPr>
            <w:tcW w:w="3402" w:type="dxa"/>
            <w:vAlign w:val="center"/>
            <w:vMerge w:val="restart"/>
            <w:textDirection w:val="lrTb"/>
            <w:noWrap w:val="false"/>
          </w:tcPr>
          <w:p>
            <w:pPr>
              <w:rPr>
                <w:sz w:val="24"/>
                <w:szCs w:val="24"/>
              </w:rPr>
            </w:pPr>
            <w:r>
              <w:rPr>
                <w:sz w:val="24"/>
                <w:szCs w:val="24"/>
              </w:rPr>
              <w:t xml:space="preserve">Наличие</w:t>
            </w:r>
            <w:r>
              <w:rPr>
                <w:sz w:val="24"/>
                <w:szCs w:val="24"/>
              </w:rPr>
            </w:r>
          </w:p>
        </w:tc>
        <w:tc>
          <w:tcPr>
            <w:tcW w:w="3686" w:type="dxa"/>
            <w:vMerge w:val="restart"/>
            <w:textDirection w:val="lrTb"/>
            <w:noWrap w:val="false"/>
          </w:tcPr>
          <w:p>
            <w:pPr>
              <w:jc w:val="center"/>
            </w:pPr>
            <w:r/>
            <w:r/>
          </w:p>
        </w:tc>
      </w:tr>
      <w:tr>
        <w:tblPrEx/>
        <w:trPr>
          <w:jc w:val="center"/>
          <w:trHeight w:val="517"/>
        </w:trPr>
        <w:tc>
          <w:tcPr>
            <w:tcW w:w="3397" w:type="dxa"/>
            <w:vMerge w:val="restart"/>
            <w:textDirection w:val="lrTb"/>
            <w:noWrap w:val="false"/>
          </w:tcPr>
          <w:p>
            <w:pPr>
              <w:jc w:val="both"/>
              <w:rPr>
                <w:sz w:val="24"/>
                <w:szCs w:val="24"/>
              </w:rPr>
            </w:pPr>
            <w:r>
              <w:rPr>
                <w:sz w:val="24"/>
                <w:szCs w:val="24"/>
                <w:lang w:val="ru-RU"/>
              </w:rPr>
              <w:t xml:space="preserve">З</w:t>
            </w:r>
            <w:r>
              <w:rPr>
                <w:color w:val="000000"/>
                <w:sz w:val="24"/>
                <w:szCs w:val="24"/>
                <w:lang w:val="ru-RU"/>
              </w:rPr>
              <w:t xml:space="preserve">апасное колесо</w:t>
            </w:r>
            <w:r>
              <w:rPr>
                <w:sz w:val="24"/>
                <w:szCs w:val="24"/>
              </w:rPr>
            </w:r>
          </w:p>
        </w:tc>
        <w:tc>
          <w:tcPr>
            <w:tcW w:w="3402" w:type="dxa"/>
            <w:vAlign w:val="center"/>
            <w:vMerge w:val="restart"/>
            <w:textDirection w:val="lrTb"/>
            <w:noWrap w:val="false"/>
          </w:tcPr>
          <w:p>
            <w:pPr>
              <w:rPr>
                <w:sz w:val="24"/>
                <w:szCs w:val="24"/>
              </w:rPr>
            </w:pPr>
            <w:r>
              <w:rPr>
                <w:sz w:val="24"/>
                <w:szCs w:val="24"/>
              </w:rPr>
              <w:t xml:space="preserve">Наличие</w:t>
            </w:r>
            <w:r>
              <w:rPr>
                <w:sz w:val="24"/>
                <w:szCs w:val="24"/>
              </w:rPr>
            </w:r>
          </w:p>
        </w:tc>
        <w:tc>
          <w:tcPr>
            <w:tcW w:w="3686" w:type="dxa"/>
            <w:vMerge w:val="restart"/>
            <w:textDirection w:val="lrTb"/>
            <w:noWrap w:val="false"/>
          </w:tcPr>
          <w:p>
            <w:pPr>
              <w:jc w:val="center"/>
            </w:pPr>
            <w:r/>
            <w:r/>
          </w:p>
        </w:tc>
      </w:tr>
      <w:tr>
        <w:tblPrEx/>
        <w:trPr>
          <w:jc w:val="center"/>
          <w:trHeight w:val="517"/>
        </w:trPr>
        <w:tc>
          <w:tcPr>
            <w:tcW w:w="3397" w:type="dxa"/>
            <w:vMerge w:val="restart"/>
            <w:textDirection w:val="lrTb"/>
            <w:noWrap w:val="false"/>
          </w:tcPr>
          <w:p>
            <w:pPr>
              <w:jc w:val="both"/>
              <w:rPr>
                <w:sz w:val="24"/>
                <w:szCs w:val="24"/>
              </w:rPr>
            </w:pPr>
            <w:r>
              <w:rPr>
                <w:color w:val="000000"/>
                <w:sz w:val="24"/>
                <w:szCs w:val="24"/>
                <w:lang w:val="ru-RU"/>
              </w:rPr>
              <w:t xml:space="preserve">ЗИП</w:t>
            </w:r>
            <w:r>
              <w:rPr>
                <w:sz w:val="24"/>
                <w:szCs w:val="24"/>
              </w:rPr>
            </w:r>
          </w:p>
        </w:tc>
        <w:tc>
          <w:tcPr>
            <w:tcW w:w="3402" w:type="dxa"/>
            <w:vAlign w:val="center"/>
            <w:vMerge w:val="restart"/>
            <w:textDirection w:val="lrTb"/>
            <w:noWrap w:val="false"/>
          </w:tcPr>
          <w:p>
            <w:pPr>
              <w:rPr>
                <w:sz w:val="24"/>
                <w:szCs w:val="24"/>
              </w:rPr>
            </w:pPr>
            <w:r>
              <w:rPr>
                <w:sz w:val="24"/>
                <w:szCs w:val="24"/>
              </w:rPr>
              <w:t xml:space="preserve">Наличие</w:t>
            </w:r>
            <w:r>
              <w:rPr>
                <w:sz w:val="24"/>
                <w:szCs w:val="24"/>
              </w:rPr>
            </w:r>
          </w:p>
        </w:tc>
        <w:tc>
          <w:tcPr>
            <w:tcW w:w="3686" w:type="dxa"/>
            <w:vMerge w:val="restart"/>
            <w:textDirection w:val="lrTb"/>
            <w:noWrap w:val="false"/>
          </w:tcPr>
          <w:p>
            <w:pPr>
              <w:jc w:val="center"/>
            </w:pPr>
            <w:r/>
            <w:r/>
          </w:p>
        </w:tc>
      </w:tr>
      <w:tr>
        <w:tblPrEx/>
        <w:trPr>
          <w:jc w:val="center"/>
          <w:trHeight w:val="517"/>
        </w:trPr>
        <w:tc>
          <w:tcPr>
            <w:tcW w:w="3397" w:type="dxa"/>
            <w:vMerge w:val="restart"/>
            <w:textDirection w:val="lrTb"/>
            <w:noWrap w:val="false"/>
          </w:tcPr>
          <w:p>
            <w:pPr>
              <w:jc w:val="both"/>
              <w:rPr>
                <w:sz w:val="24"/>
                <w:szCs w:val="24"/>
              </w:rPr>
            </w:pPr>
            <w:r>
              <w:rPr>
                <w:color w:val="000000"/>
                <w:sz w:val="24"/>
                <w:szCs w:val="24"/>
                <w:lang w:val="ru-RU"/>
              </w:rPr>
              <w:t xml:space="preserve">Бортовой терминал системы спутникового мониторинга Omnicomm Profi + датчик уровня топлива на каждый топливный бак</w:t>
            </w:r>
            <w:r>
              <w:rPr>
                <w:sz w:val="24"/>
                <w:szCs w:val="24"/>
              </w:rPr>
            </w:r>
          </w:p>
        </w:tc>
        <w:tc>
          <w:tcPr>
            <w:tcW w:w="3402" w:type="dxa"/>
            <w:vAlign w:val="center"/>
            <w:vMerge w:val="restart"/>
            <w:textDirection w:val="lrTb"/>
            <w:noWrap w:val="false"/>
          </w:tcPr>
          <w:p>
            <w:pPr>
              <w:rPr>
                <w:sz w:val="24"/>
                <w:szCs w:val="24"/>
              </w:rPr>
            </w:pPr>
            <w:r>
              <w:rPr>
                <w:sz w:val="24"/>
                <w:szCs w:val="24"/>
              </w:rPr>
              <w:t xml:space="preserve">Наличие</w:t>
            </w:r>
            <w:r>
              <w:rPr>
                <w:sz w:val="24"/>
                <w:szCs w:val="24"/>
              </w:rPr>
            </w:r>
          </w:p>
        </w:tc>
        <w:tc>
          <w:tcPr>
            <w:tcW w:w="3686" w:type="dxa"/>
            <w:vMerge w:val="restart"/>
            <w:textDirection w:val="lrTb"/>
            <w:noWrap w:val="false"/>
          </w:tcPr>
          <w:p>
            <w:pPr>
              <w:jc w:val="center"/>
            </w:pPr>
            <w:r/>
            <w:r/>
          </w:p>
        </w:tc>
      </w:tr>
      <w:tr>
        <w:tblPrEx/>
        <w:trPr>
          <w:jc w:val="center"/>
          <w:trHeight w:val="517"/>
        </w:trPr>
        <w:tc>
          <w:tcPr>
            <w:tcW w:w="3397" w:type="dxa"/>
            <w:vMerge w:val="restart"/>
            <w:textDirection w:val="lrTb"/>
            <w:noWrap w:val="false"/>
          </w:tcPr>
          <w:p>
            <w:pPr>
              <w:jc w:val="both"/>
              <w:rPr>
                <w:sz w:val="24"/>
                <w:szCs w:val="24"/>
              </w:rPr>
            </w:pPr>
            <w:r>
              <w:rPr>
                <w:color w:val="000000"/>
                <w:sz w:val="24"/>
                <w:szCs w:val="24"/>
                <w:lang w:val="ru-RU"/>
              </w:rPr>
              <w:t xml:space="preserve">Логотип ПАО «Россети Сибирь» с правой, левой стороны</w:t>
            </w:r>
            <w:r>
              <w:rPr>
                <w:sz w:val="24"/>
                <w:szCs w:val="24"/>
              </w:rPr>
            </w:r>
          </w:p>
        </w:tc>
        <w:tc>
          <w:tcPr>
            <w:tcW w:w="3402" w:type="dxa"/>
            <w:vAlign w:val="center"/>
            <w:vMerge w:val="restart"/>
            <w:textDirection w:val="lrTb"/>
            <w:noWrap w:val="false"/>
          </w:tcPr>
          <w:p>
            <w:pPr>
              <w:rPr>
                <w:sz w:val="24"/>
                <w:szCs w:val="24"/>
              </w:rPr>
            </w:pPr>
            <w:r>
              <w:rPr>
                <w:sz w:val="24"/>
                <w:szCs w:val="24"/>
              </w:rPr>
              <w:t xml:space="preserve">Наличие</w:t>
            </w:r>
            <w:r>
              <w:rPr>
                <w:sz w:val="24"/>
                <w:szCs w:val="24"/>
              </w:rPr>
            </w:r>
          </w:p>
        </w:tc>
        <w:tc>
          <w:tcPr>
            <w:tcW w:w="3686" w:type="dxa"/>
            <w:vMerge w:val="restart"/>
            <w:textDirection w:val="lrTb"/>
            <w:noWrap w:val="false"/>
          </w:tcPr>
          <w:p>
            <w:pPr>
              <w:jc w:val="center"/>
            </w:pPr>
            <w:r/>
            <w:r/>
          </w:p>
        </w:tc>
      </w:tr>
      <w:tr>
        <w:tblPrEx/>
        <w:trPr>
          <w:jc w:val="center"/>
          <w:trHeight w:val="517"/>
        </w:trPr>
        <w:tc>
          <w:tcPr>
            <w:tcW w:w="3397" w:type="dxa"/>
            <w:vMerge w:val="restart"/>
            <w:textDirection w:val="lrTb"/>
            <w:noWrap w:val="false"/>
          </w:tcPr>
          <w:p>
            <w:pPr>
              <w:jc w:val="both"/>
              <w:rPr>
                <w:sz w:val="24"/>
                <w:szCs w:val="24"/>
              </w:rPr>
            </w:pPr>
            <w:r>
              <w:rPr>
                <w:color w:val="000000"/>
                <w:sz w:val="24"/>
                <w:szCs w:val="24"/>
                <w:lang w:val="ru-RU"/>
              </w:rPr>
              <w:t xml:space="preserve">Усиление рамы автомобиля </w:t>
            </w:r>
            <w:r>
              <w:rPr>
                <w:sz w:val="24"/>
                <w:szCs w:val="24"/>
              </w:rPr>
            </w:r>
          </w:p>
        </w:tc>
        <w:tc>
          <w:tcPr>
            <w:tcW w:w="3402" w:type="dxa"/>
            <w:vAlign w:val="center"/>
            <w:vMerge w:val="restart"/>
            <w:textDirection w:val="lrTb"/>
            <w:noWrap w:val="false"/>
          </w:tcPr>
          <w:p>
            <w:pPr>
              <w:rPr>
                <w:sz w:val="24"/>
                <w:szCs w:val="24"/>
              </w:rPr>
            </w:pPr>
            <w:r>
              <w:rPr>
                <w:sz w:val="24"/>
                <w:szCs w:val="24"/>
              </w:rPr>
              <w:t xml:space="preserve">Наличие</w:t>
            </w:r>
            <w:r>
              <w:rPr>
                <w:sz w:val="24"/>
                <w:szCs w:val="24"/>
              </w:rPr>
            </w:r>
          </w:p>
        </w:tc>
        <w:tc>
          <w:tcPr>
            <w:tcW w:w="3686" w:type="dxa"/>
            <w:vMerge w:val="restart"/>
            <w:textDirection w:val="lrTb"/>
            <w:noWrap w:val="false"/>
          </w:tcPr>
          <w:p>
            <w:pPr>
              <w:jc w:val="center"/>
            </w:pPr>
            <w:r/>
            <w:r/>
          </w:p>
        </w:tc>
      </w:tr>
      <w:tr>
        <w:tblPrEx/>
        <w:trPr>
          <w:jc w:val="center"/>
          <w:trHeight w:val="517"/>
        </w:trPr>
        <w:tc>
          <w:tcPr>
            <w:tcW w:w="3397" w:type="dxa"/>
            <w:vMerge w:val="restart"/>
            <w:textDirection w:val="lrTb"/>
            <w:noWrap w:val="false"/>
          </w:tcPr>
          <w:p>
            <w:pPr>
              <w:jc w:val="both"/>
              <w:rPr>
                <w:sz w:val="24"/>
                <w:szCs w:val="24"/>
              </w:rPr>
            </w:pPr>
            <w:r>
              <w:rPr>
                <w:color w:val="000000"/>
                <w:sz w:val="24"/>
                <w:szCs w:val="24"/>
                <w:lang w:val="ru-RU"/>
              </w:rPr>
              <w:t xml:space="preserve">Подогрев гидравлического бака</w:t>
            </w:r>
            <w:r>
              <w:rPr>
                <w:sz w:val="24"/>
                <w:szCs w:val="24"/>
              </w:rPr>
            </w:r>
          </w:p>
        </w:tc>
        <w:tc>
          <w:tcPr>
            <w:tcW w:w="3402" w:type="dxa"/>
            <w:vAlign w:val="center"/>
            <w:vMerge w:val="restart"/>
            <w:textDirection w:val="lrTb"/>
            <w:noWrap w:val="false"/>
          </w:tcPr>
          <w:p>
            <w:r>
              <w:rPr>
                <w:sz w:val="24"/>
                <w:szCs w:val="24"/>
              </w:rPr>
              <w:t xml:space="preserve">Наличие</w:t>
            </w:r>
            <w:r/>
          </w:p>
        </w:tc>
        <w:tc>
          <w:tcPr>
            <w:tcW w:w="3686" w:type="dxa"/>
            <w:vMerge w:val="restart"/>
            <w:textDirection w:val="lrTb"/>
            <w:noWrap w:val="false"/>
          </w:tcPr>
          <w:p>
            <w:pPr>
              <w:jc w:val="center"/>
            </w:pPr>
            <w:r/>
            <w:r/>
          </w:p>
        </w:tc>
      </w:tr>
    </w:tbl>
    <w:p>
      <w:pPr>
        <w:ind w:left="709"/>
        <w:jc w:val="center"/>
        <w:spacing w:after="0" w:line="17" w:lineRule="atLeast"/>
        <w:rPr>
          <w:rFonts w:ascii="Tinos" w:hAnsi="Tinos" w:cs="Tinos"/>
          <w:bCs/>
          <w:sz w:val="20"/>
          <w:szCs w:val="20"/>
        </w:rPr>
      </w:pPr>
      <w:r>
        <w:rPr>
          <w:rFonts w:ascii="Tinos" w:hAnsi="Tinos" w:cs="Tinos"/>
          <w:bCs/>
          <w:sz w:val="20"/>
          <w:szCs w:val="20"/>
        </w:rPr>
      </w:r>
      <w:r>
        <w:rPr>
          <w:rFonts w:ascii="Tinos" w:hAnsi="Tinos" w:cs="Tinos"/>
          <w:bCs/>
          <w:sz w:val="20"/>
          <w:szCs w:val="20"/>
        </w:rPr>
      </w:r>
    </w:p>
    <w:p>
      <w:pPr>
        <w:spacing w:after="0" w:line="17" w:lineRule="atLeast"/>
        <w:widowControl w:val="off"/>
        <w:rPr>
          <w:rFonts w:ascii="Tinos" w:hAnsi="Tinos" w:cs="Tinos"/>
          <w:b/>
          <w:bCs/>
          <w:caps/>
          <w:sz w:val="20"/>
          <w:szCs w:val="20"/>
        </w:rPr>
      </w:pPr>
      <w:r>
        <w:rPr>
          <w:rFonts w:ascii="Tinos" w:hAnsi="Tinos" w:cs="Tinos"/>
          <w:b/>
          <w:bCs/>
          <w:caps/>
          <w:sz w:val="20"/>
          <w:szCs w:val="20"/>
        </w:rPr>
      </w:r>
      <w:r>
        <w:rPr>
          <w:rFonts w:ascii="Tinos" w:hAnsi="Tinos" w:cs="Tinos"/>
          <w:b/>
          <w:bCs/>
          <w:caps/>
          <w:sz w:val="20"/>
          <w:szCs w:val="20"/>
        </w:rPr>
      </w:r>
    </w:p>
    <w:p>
      <w:pPr>
        <w:pStyle w:val="1315"/>
        <w:numPr>
          <w:ilvl w:val="0"/>
          <w:numId w:val="55"/>
        </w:numPr>
        <w:jc w:val="center"/>
        <w:spacing w:line="17" w:lineRule="atLeast"/>
        <w:rPr>
          <w:rFonts w:ascii="Tinos" w:hAnsi="Tinos" w:cs="Tinos"/>
          <w:b/>
          <w:bCs/>
          <w:sz w:val="22"/>
          <w:szCs w:val="22"/>
        </w:rPr>
      </w:pPr>
      <w:r>
        <w:rPr>
          <w:rFonts w:ascii="Tinos" w:hAnsi="Tinos" w:eastAsia="Tinos" w:cs="Tinos"/>
          <w:b/>
          <w:bCs/>
          <w:sz w:val="22"/>
          <w:szCs w:val="22"/>
        </w:rPr>
        <w:t xml:space="preserve">Общие требования:</w:t>
      </w:r>
      <w:r>
        <w:rPr>
          <w:rFonts w:ascii="Tinos" w:hAnsi="Tinos" w:cs="Tinos"/>
          <w:b/>
          <w:bCs/>
          <w:sz w:val="22"/>
          <w:szCs w:val="22"/>
        </w:rPr>
      </w:r>
    </w:p>
    <w:p>
      <w:pPr>
        <w:numPr>
          <w:ilvl w:val="1"/>
          <w:numId w:val="61"/>
        </w:numPr>
        <w:ind w:firstLine="0"/>
        <w:jc w:val="both"/>
        <w:spacing w:after="0" w:line="17" w:lineRule="atLeast"/>
        <w:tabs>
          <w:tab w:val="left" w:pos="425" w:leader="none"/>
        </w:tabs>
        <w:rPr>
          <w:rFonts w:ascii="Tinos" w:hAnsi="Tinos" w:cs="Tinos"/>
          <w:bCs/>
          <w:sz w:val="24"/>
          <w:szCs w:val="24"/>
        </w:rPr>
      </w:pPr>
      <w:r>
        <w:rPr>
          <w:rFonts w:ascii="Tinos" w:hAnsi="Tinos" w:eastAsia="Tinos" w:cs="Tinos"/>
          <w:bCs/>
        </w:rPr>
        <w:t xml:space="preserve">Поставляемые транспортные средства должны быть изготовлены в год поставки или предшествующий ему и быть ранее не использованными, не подверженные ремонту и восстановлению.</w:t>
      </w:r>
      <w:r>
        <w:rPr>
          <w:rFonts w:ascii="Tinos" w:hAnsi="Tinos" w:cs="Tinos"/>
          <w:bCs/>
          <w:sz w:val="24"/>
          <w:szCs w:val="24"/>
        </w:rPr>
      </w:r>
    </w:p>
    <w:p>
      <w:pPr>
        <w:numPr>
          <w:ilvl w:val="1"/>
          <w:numId w:val="61"/>
        </w:numPr>
        <w:ind w:firstLine="0"/>
        <w:jc w:val="both"/>
        <w:spacing w:after="0" w:line="17" w:lineRule="atLeast"/>
        <w:tabs>
          <w:tab w:val="left" w:pos="425" w:leader="none"/>
        </w:tabs>
        <w:rPr>
          <w:rFonts w:ascii="Tinos" w:hAnsi="Tinos" w:cs="Tinos"/>
          <w:bCs/>
          <w:sz w:val="24"/>
          <w:szCs w:val="24"/>
        </w:rPr>
      </w:pPr>
      <w:r>
        <w:rPr>
          <w:rFonts w:ascii="Tinos" w:hAnsi="Tinos" w:eastAsia="Tinos" w:cs="Tinos"/>
          <w:bCs/>
        </w:rPr>
        <w:t xml:space="preserve">Транспортные средства должны иметь сертификаты соответствия. Вся поставляемая техника должна сопровождаться технической документацией по эксплуатации и обслуживанию, документами необходимыми для регистрации в органах ГИБДД, Гостехнадзора, Ростехнадзора и п</w:t>
      </w:r>
      <w:r>
        <w:rPr>
          <w:rFonts w:ascii="Tinos" w:hAnsi="Tinos" w:eastAsia="Tinos" w:cs="Tinos"/>
          <w:bCs/>
        </w:rPr>
        <w:t xml:space="preserve">рочих органах государственного контроля, а также иметь одобрение типа транспортного средства. </w:t>
      </w:r>
      <w:r>
        <w:rPr>
          <w:rFonts w:ascii="Tinos" w:hAnsi="Tinos" w:cs="Tinos"/>
          <w:bCs/>
          <w:sz w:val="24"/>
          <w:szCs w:val="24"/>
        </w:rPr>
      </w:r>
    </w:p>
    <w:p>
      <w:pPr>
        <w:numPr>
          <w:ilvl w:val="1"/>
          <w:numId w:val="61"/>
        </w:numPr>
        <w:ind w:firstLine="0"/>
        <w:jc w:val="both"/>
        <w:spacing w:after="0" w:line="17" w:lineRule="atLeast"/>
        <w:tabs>
          <w:tab w:val="left" w:pos="425" w:leader="none"/>
        </w:tabs>
        <w:rPr>
          <w:rFonts w:ascii="Tinos" w:hAnsi="Tinos" w:cs="Tinos"/>
          <w:bCs/>
          <w:sz w:val="24"/>
          <w:szCs w:val="24"/>
        </w:rPr>
      </w:pPr>
      <w:r>
        <w:rPr>
          <w:rFonts w:ascii="Tinos" w:hAnsi="Tinos" w:eastAsia="Tinos" w:cs="Tinos"/>
          <w:bCs/>
        </w:rPr>
        <w:t xml:space="preserve">Вся сопроводительная документация должна быть составлена на русском языке и передана заказчику вместе с транспортными средствами.</w:t>
      </w:r>
      <w:r>
        <w:rPr>
          <w:rFonts w:ascii="Tinos" w:hAnsi="Tinos" w:cs="Tinos"/>
          <w:bCs/>
          <w:sz w:val="24"/>
          <w:szCs w:val="24"/>
        </w:rPr>
      </w:r>
    </w:p>
    <w:p>
      <w:pPr>
        <w:numPr>
          <w:ilvl w:val="1"/>
          <w:numId w:val="61"/>
        </w:numPr>
        <w:ind w:firstLine="0"/>
        <w:jc w:val="both"/>
        <w:spacing w:after="0" w:line="17" w:lineRule="atLeast"/>
        <w:tabs>
          <w:tab w:val="left" w:pos="425" w:leader="none"/>
        </w:tabs>
        <w:rPr>
          <w:rFonts w:ascii="Tinos" w:hAnsi="Tinos" w:cs="Tinos"/>
          <w:bCs/>
          <w:sz w:val="24"/>
          <w:szCs w:val="24"/>
        </w:rPr>
      </w:pPr>
      <w:r>
        <w:rPr>
          <w:rFonts w:ascii="Tinos" w:hAnsi="Tinos" w:eastAsia="Tinos" w:cs="Tinos"/>
          <w:bCs/>
        </w:rPr>
        <w:t xml:space="preserve">Транспортные средства</w:t>
      </w:r>
      <w:r>
        <w:rPr>
          <w:rFonts w:ascii="Tinos" w:hAnsi="Tinos" w:eastAsia="Tinos" w:cs="Tinos"/>
        </w:rPr>
        <w:t xml:space="preserve"> должны</w:t>
      </w:r>
      <w:r>
        <w:rPr>
          <w:rFonts w:ascii="Tinos" w:hAnsi="Tinos" w:eastAsia="Tinos" w:cs="Tinos"/>
          <w:bCs/>
        </w:rPr>
        <w:t xml:space="preserve"> иметь экологический класс, соответствующий нормативам, действующим в соответствии с законодательством РФ на момент поставки техники.</w:t>
      </w:r>
      <w:r>
        <w:rPr>
          <w:rFonts w:ascii="Tinos" w:hAnsi="Tinos" w:cs="Tinos"/>
          <w:bCs/>
          <w:sz w:val="24"/>
          <w:szCs w:val="24"/>
        </w:rPr>
      </w:r>
    </w:p>
    <w:p>
      <w:pPr>
        <w:jc w:val="both"/>
        <w:spacing w:after="0" w:line="17" w:lineRule="atLeast"/>
        <w:tabs>
          <w:tab w:val="left" w:pos="425" w:leader="none"/>
        </w:tabs>
        <w:rPr>
          <w:rFonts w:ascii="Tinos" w:hAnsi="Tinos" w:cs="Tinos"/>
          <w:bCs/>
        </w:rPr>
      </w:pPr>
      <w:r>
        <w:rPr>
          <w:rFonts w:ascii="Tinos" w:hAnsi="Tinos" w:eastAsia="Tinos" w:cs="Tinos"/>
          <w:bCs/>
          <w:highlight w:val="white"/>
        </w:rPr>
        <w:t xml:space="preserve">Категория транспортного средства</w:t>
      </w:r>
      <w:r>
        <w:rPr>
          <w:rFonts w:ascii="Tinos" w:hAnsi="Tinos" w:eastAsia="Tinos" w:cs="Tinos"/>
          <w:bCs/>
          <w:highlight w:val="white"/>
          <w:lang w:val="en-US"/>
        </w:rPr>
        <w:t xml:space="preserve"> </w:t>
      </w:r>
      <w:r>
        <w:rPr>
          <w:rFonts w:ascii="Tinos" w:hAnsi="Tinos" w:eastAsia="Tinos" w:cs="Tinos"/>
          <w:bCs/>
          <w:highlight w:val="white"/>
        </w:rPr>
        <w:t xml:space="preserve">в соответствии с действующим Техническим регламентом – </w:t>
      </w:r>
      <w:r>
        <w:rPr>
          <w:rFonts w:ascii="Tinos" w:hAnsi="Tinos" w:eastAsia="Tinos" w:cs="Tinos"/>
          <w:highlight w:val="white"/>
          <w:lang w:val="en-US"/>
        </w:rPr>
        <w:t xml:space="preserve">N2G</w:t>
      </w:r>
      <w:r>
        <w:rPr>
          <w:rFonts w:ascii="Tinos" w:hAnsi="Tinos" w:eastAsia="Tinos" w:cs="Tinos"/>
        </w:rPr>
        <w:t xml:space="preserve">.</w:t>
      </w:r>
      <w:r>
        <w:rPr>
          <w:rFonts w:ascii="Tinos" w:hAnsi="Tinos" w:cs="Tinos"/>
          <w:bCs/>
        </w:rPr>
      </w:r>
    </w:p>
    <w:p>
      <w:pPr>
        <w:jc w:val="both"/>
        <w:spacing w:after="0" w:line="17" w:lineRule="atLeast"/>
        <w:tabs>
          <w:tab w:val="left" w:pos="425" w:leader="none"/>
        </w:tabs>
        <w:rPr>
          <w:rFonts w:ascii="Tinos" w:hAnsi="Tinos" w:cs="Tinos"/>
          <w:b/>
          <w:caps/>
        </w:rPr>
      </w:pPr>
      <w:r>
        <w:rPr>
          <w:rFonts w:ascii="Tinos" w:hAnsi="Tinos" w:eastAsia="Tinos" w:cs="Tinos"/>
          <w:b/>
          <w:bCs/>
        </w:rPr>
        <w:t xml:space="preserve">Назначение: </w:t>
      </w:r>
      <w:r>
        <w:rPr>
          <w:rFonts w:ascii="Tinos" w:hAnsi="Tinos" w:eastAsia="Tinos" w:cs="Tinos"/>
          <w:bCs/>
        </w:rPr>
        <w:t xml:space="preserve">ремонт ВЛ.</w:t>
      </w:r>
      <w:r>
        <w:rPr>
          <w:rFonts w:ascii="Tinos" w:hAnsi="Tinos" w:cs="Tinos"/>
          <w:b/>
          <w:caps/>
        </w:rPr>
      </w:r>
    </w:p>
    <w:p>
      <w:pPr>
        <w:jc w:val="center"/>
        <w:spacing w:after="0" w:line="17" w:lineRule="atLeast"/>
        <w:widowControl w:val="off"/>
        <w:tabs>
          <w:tab w:val="left" w:pos="425" w:leader="none"/>
        </w:tabs>
        <w:rPr>
          <w:rFonts w:ascii="Tinos" w:hAnsi="Tinos" w:cs="Tinos"/>
          <w:b/>
          <w:bCs/>
          <w:caps/>
          <w:sz w:val="20"/>
          <w:szCs w:val="20"/>
        </w:rPr>
      </w:pPr>
      <w:r>
        <w:rPr>
          <w:rFonts w:ascii="Tinos" w:hAnsi="Tinos" w:cs="Tinos"/>
          <w:b/>
          <w:bCs/>
          <w:caps/>
          <w:sz w:val="20"/>
          <w:szCs w:val="20"/>
        </w:rPr>
      </w:r>
      <w:r>
        <w:rPr>
          <w:rFonts w:ascii="Tinos" w:hAnsi="Tinos" w:cs="Tinos"/>
          <w:b/>
          <w:bCs/>
          <w:caps/>
          <w:sz w:val="20"/>
          <w:szCs w:val="20"/>
        </w:rPr>
      </w:r>
    </w:p>
    <w:p>
      <w:pPr>
        <w:jc w:val="center"/>
        <w:spacing w:after="0" w:line="17" w:lineRule="atLeast"/>
        <w:widowControl w:val="off"/>
        <w:rPr>
          <w:rFonts w:ascii="Tinos" w:hAnsi="Tinos" w:cs="Tinos"/>
          <w:b/>
          <w:caps/>
          <w:sz w:val="20"/>
          <w:szCs w:val="20"/>
        </w:rPr>
      </w:pPr>
      <w:r>
        <w:rPr>
          <w:rFonts w:ascii="Tinos" w:hAnsi="Tinos" w:eastAsia="Tinos" w:cs="Tinos"/>
          <w:b/>
          <w:bCs/>
          <w:caps/>
          <w:sz w:val="20"/>
          <w:szCs w:val="20"/>
        </w:rPr>
        <w:t xml:space="preserve">внешн</w:t>
      </w:r>
      <w:r>
        <w:rPr>
          <w:rFonts w:ascii="Tinos" w:hAnsi="Tinos" w:eastAsia="Tinos" w:cs="Tinos"/>
          <w:b/>
          <w:bCs/>
          <w:caps/>
          <w:sz w:val="20"/>
          <w:szCs w:val="20"/>
        </w:rPr>
        <w:t xml:space="preserve">ий вид:</w:t>
      </w:r>
      <w:r>
        <w:rPr>
          <w:rFonts w:ascii="Tinos" w:hAnsi="Tinos" w:cs="Tinos"/>
          <w:b/>
          <w:caps/>
          <w:sz w:val="20"/>
          <w:szCs w:val="20"/>
        </w:rPr>
      </w:r>
    </w:p>
    <w:p>
      <w:pPr>
        <w:jc w:val="center"/>
        <w:spacing w:after="0" w:line="17" w:lineRule="atLeast"/>
        <w:widowControl w:val="off"/>
        <w:rPr>
          <w:rFonts w:ascii="Tinos" w:hAnsi="Tinos" w:cs="Tinos"/>
          <w:b/>
          <w:caps/>
          <w:sz w:val="20"/>
          <w:szCs w:val="20"/>
        </w:rPr>
      </w:pPr>
      <w:r>
        <w:rPr>
          <w:rFonts w:ascii="Tinos" w:hAnsi="Tinos" w:cs="Tinos"/>
          <w:b/>
          <w:caps/>
          <w:sz w:val="20"/>
          <w:szCs w:val="20"/>
        </w:rPr>
      </w:r>
      <w:r>
        <w:rPr>
          <w:rFonts w:ascii="Tinos" w:hAnsi="Tinos" w:cs="Tinos"/>
          <w:b/>
          <w:caps/>
          <w:sz w:val="20"/>
          <w:szCs w:val="20"/>
        </w:rPr>
      </w:r>
    </w:p>
    <w:p>
      <w:pPr>
        <w:jc w:val="center"/>
        <w:spacing w:after="0" w:line="17" w:lineRule="atLeast"/>
        <w:widowControl w:val="off"/>
        <w:rPr>
          <w:rFonts w:ascii="Tinos" w:hAnsi="Tinos" w:eastAsia="Tinos" w:cs="Tinos"/>
          <w:b/>
          <w:bCs/>
          <w:caps/>
          <w:sz w:val="20"/>
          <w:szCs w:val="20"/>
        </w:rPr>
      </w:pPr>
      <w:r>
        <w:rPr>
          <w:rFonts w:ascii="Tinos" w:hAnsi="Tinos" w:eastAsia="Tinos" w:cs="Tinos"/>
          <w:b/>
          <w:caps/>
          <w:sz w:val="20"/>
          <w:szCs w:val="20"/>
          <w:lang w:eastAsia="ru-RU"/>
        </w:rPr>
        <mc:AlternateContent>
          <mc:Choice Requires="wpg">
            <w:drawing>
              <wp:inline xmlns:wp="http://schemas.openxmlformats.org/drawingml/2006/wordprocessingDrawing" distT="0" distB="0" distL="0" distR="0">
                <wp:extent cx="3867150" cy="2486025"/>
                <wp:effectExtent l="0" t="0" r="0" b="9525"/>
                <wp:docPr id="2"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pic:cNvPicPr>
                        <pic:nvPr/>
                      </pic:nvPicPr>
                      <pic:blipFill>
                        <a:blip r:embed="rId21"/>
                        <a:stretch/>
                      </pic:blipFill>
                      <pic:spPr bwMode="auto">
                        <a:xfrm>
                          <a:off x="0" y="0"/>
                          <a:ext cx="3867150" cy="2486025"/>
                        </a:xfrm>
                        <a:prstGeom prst="rect">
                          <a:avLst/>
                        </a:prstGeom>
                        <a:noFill/>
                        <a:ln>
                          <a:noFill/>
                        </a:ln>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1" o:spid="_x0000_s1" type="#_x0000_t75" style="width:304.50pt;height:195.75pt;mso-wrap-distance-left:0.00pt;mso-wrap-distance-top:0.00pt;mso-wrap-distance-right:0.00pt;mso-wrap-distance-bottom:0.00pt;" stroked="f">
                <v:path textboxrect="0,0,0,0"/>
                <v:imagedata r:id="rId21" o:title=""/>
              </v:shape>
            </w:pict>
          </mc:Fallback>
        </mc:AlternateContent>
      </w:r>
      <w:r>
        <w:rPr>
          <w:rFonts w:ascii="Tinos" w:hAnsi="Tinos" w:eastAsia="Tinos" w:cs="Tinos"/>
          <w:b/>
          <w:bCs/>
          <w:caps/>
          <w:sz w:val="20"/>
          <w:szCs w:val="20"/>
        </w:rPr>
      </w:r>
    </w:p>
    <w:p>
      <w:pPr>
        <w:jc w:val="center"/>
        <w:spacing w:after="0" w:line="17" w:lineRule="atLeast"/>
        <w:widowControl w:val="off"/>
        <w:rPr>
          <w:rFonts w:ascii="Tinos" w:hAnsi="Tinos" w:cs="Tinos"/>
          <w:b/>
          <w:bCs/>
          <w:caps/>
        </w:rPr>
      </w:pPr>
      <w:r>
        <w:rPr>
          <w:rFonts w:ascii="Tinos" w:hAnsi="Tinos" w:cs="Tinos"/>
          <w:b/>
          <w:bCs/>
          <w:caps/>
        </w:rPr>
      </w:r>
      <w:r>
        <w:rPr>
          <w:rFonts w:ascii="Tinos" w:hAnsi="Tinos" w:cs="Tinos"/>
          <w:b/>
          <w:bCs/>
          <w:caps/>
        </w:rPr>
      </w:r>
    </w:p>
    <w:p>
      <w:pPr>
        <w:pStyle w:val="1315"/>
        <w:numPr>
          <w:ilvl w:val="0"/>
          <w:numId w:val="55"/>
        </w:numPr>
        <w:jc w:val="center"/>
        <w:spacing w:line="17" w:lineRule="atLeast"/>
        <w:tabs>
          <w:tab w:val="left" w:pos="426" w:leader="none"/>
        </w:tabs>
        <w:rPr>
          <w:rFonts w:ascii="Tinos" w:hAnsi="Tinos" w:cs="Tinos"/>
          <w:b/>
          <w:bCs/>
          <w:sz w:val="22"/>
          <w:szCs w:val="22"/>
        </w:rPr>
      </w:pPr>
      <w:r>
        <w:rPr>
          <w:rFonts w:ascii="Tinos" w:hAnsi="Tinos" w:eastAsia="Tinos" w:cs="Tinos"/>
          <w:b/>
          <w:bCs/>
          <w:sz w:val="22"/>
          <w:szCs w:val="22"/>
        </w:rPr>
        <w:t xml:space="preserve">Требования к Поставщику и объему документации:</w:t>
      </w:r>
      <w:r>
        <w:rPr>
          <w:rFonts w:ascii="Tinos" w:hAnsi="Tinos" w:cs="Tinos"/>
          <w:b/>
          <w:bCs/>
          <w:sz w:val="22"/>
          <w:szCs w:val="22"/>
        </w:rPr>
      </w:r>
    </w:p>
    <w:p>
      <w:pPr>
        <w:pStyle w:val="1315"/>
        <w:numPr>
          <w:ilvl w:val="0"/>
          <w:numId w:val="62"/>
        </w:numPr>
        <w:ind w:left="0" w:firstLine="0"/>
        <w:jc w:val="both"/>
        <w:spacing w:line="17" w:lineRule="atLeast"/>
        <w:tabs>
          <w:tab w:val="left" w:pos="283" w:leader="none"/>
          <w:tab w:val="left" w:pos="425" w:leader="none"/>
        </w:tabs>
        <w:rPr>
          <w:rFonts w:ascii="Tinos" w:hAnsi="Tinos" w:cs="Tinos"/>
          <w:sz w:val="24"/>
          <w:szCs w:val="24"/>
        </w:rPr>
      </w:pPr>
      <w:r>
        <w:rPr>
          <w:rFonts w:ascii="Tinos" w:hAnsi="Tinos" w:eastAsia="Tinos" w:cs="Tinos"/>
          <w:sz w:val="22"/>
          <w:szCs w:val="22"/>
          <w:lang w:eastAsia="en-US"/>
        </w:rPr>
        <w:t xml:space="preserve">грузовысотные диаграммы производителя подъёмных сооружений;</w:t>
      </w:r>
      <w:r>
        <w:rPr>
          <w:rFonts w:ascii="Tinos" w:hAnsi="Tinos" w:cs="Tinos"/>
          <w:sz w:val="24"/>
          <w:szCs w:val="24"/>
        </w:rPr>
      </w:r>
    </w:p>
    <w:p>
      <w:pPr>
        <w:pStyle w:val="1315"/>
        <w:numPr>
          <w:ilvl w:val="0"/>
          <w:numId w:val="62"/>
        </w:numPr>
        <w:ind w:left="0" w:firstLine="0"/>
        <w:jc w:val="both"/>
        <w:spacing w:line="17" w:lineRule="atLeast"/>
        <w:tabs>
          <w:tab w:val="left" w:pos="283" w:leader="none"/>
          <w:tab w:val="left" w:pos="425" w:leader="none"/>
        </w:tabs>
        <w:rPr>
          <w:rFonts w:ascii="Tinos" w:hAnsi="Tinos" w:cs="Tinos"/>
          <w:sz w:val="24"/>
          <w:szCs w:val="24"/>
        </w:rPr>
      </w:pPr>
      <w:r>
        <w:rPr>
          <w:rFonts w:ascii="Tinos" w:hAnsi="Tinos" w:eastAsia="Tinos" w:cs="Tinos"/>
          <w:sz w:val="22"/>
          <w:szCs w:val="22"/>
          <w:lang w:eastAsia="en-US"/>
        </w:rPr>
        <w:t xml:space="preserve">габаритные чертежи ТС;</w:t>
      </w:r>
      <w:r>
        <w:rPr>
          <w:rFonts w:ascii="Tinos" w:hAnsi="Tinos" w:cs="Tinos"/>
          <w:sz w:val="24"/>
          <w:szCs w:val="24"/>
        </w:rPr>
      </w:r>
    </w:p>
    <w:p>
      <w:pPr>
        <w:pStyle w:val="1315"/>
        <w:numPr>
          <w:ilvl w:val="0"/>
          <w:numId w:val="62"/>
        </w:numPr>
        <w:ind w:left="0" w:firstLine="0"/>
        <w:jc w:val="both"/>
        <w:spacing w:line="17" w:lineRule="atLeast"/>
        <w:tabs>
          <w:tab w:val="left" w:pos="283" w:leader="none"/>
          <w:tab w:val="left" w:pos="425" w:leader="none"/>
        </w:tabs>
        <w:rPr>
          <w:rFonts w:ascii="Tinos" w:hAnsi="Tinos" w:cs="Tinos"/>
          <w:bCs/>
          <w:sz w:val="22"/>
          <w:szCs w:val="22"/>
        </w:rPr>
      </w:pPr>
      <w:r>
        <w:rPr>
          <w:rFonts w:ascii="Tinos" w:hAnsi="Tinos" w:eastAsia="Tinos" w:cs="Tinos"/>
          <w:bCs/>
          <w:sz w:val="22"/>
          <w:szCs w:val="22"/>
          <w:lang w:eastAsia="en-US"/>
        </w:rPr>
        <w:t xml:space="preserve">список сервисных центров по обслуживанию и ремонту поставляемой транспортных средств, расположенных на территории присутствия </w:t>
      </w:r>
      <w:r>
        <w:rPr>
          <w:rFonts w:ascii="Tinos" w:hAnsi="Tinos" w:eastAsia="Tinos" w:cs="Tinos"/>
          <w:sz w:val="22"/>
          <w:szCs w:val="22"/>
          <w:lang w:eastAsia="en-US"/>
        </w:rPr>
        <w:t xml:space="preserve"> АО «Россети Сибирь Тываэнерго»</w:t>
      </w:r>
      <w:r>
        <w:rPr>
          <w:rFonts w:ascii="Tinos" w:hAnsi="Tinos" w:eastAsia="Tinos" w:cs="Tinos"/>
          <w:bCs/>
          <w:sz w:val="22"/>
          <w:szCs w:val="22"/>
          <w:lang w:eastAsia="en-US"/>
        </w:rPr>
        <w:t xml:space="preserve">.</w:t>
      </w:r>
      <w:r>
        <w:rPr>
          <w:rFonts w:ascii="Tinos" w:hAnsi="Tinos" w:cs="Tinos"/>
          <w:bCs/>
          <w:sz w:val="22"/>
          <w:szCs w:val="22"/>
        </w:rPr>
      </w:r>
    </w:p>
    <w:p>
      <w:pPr>
        <w:numPr>
          <w:ilvl w:val="0"/>
          <w:numId w:val="55"/>
        </w:numPr>
        <w:ind w:left="0" w:firstLine="0"/>
        <w:jc w:val="center"/>
        <w:spacing w:after="0" w:line="17" w:lineRule="atLeast"/>
        <w:tabs>
          <w:tab w:val="left" w:pos="283" w:leader="none"/>
          <w:tab w:val="left" w:pos="425" w:leader="none"/>
        </w:tabs>
        <w:rPr>
          <w:rFonts w:ascii="Tinos" w:hAnsi="Tinos" w:cs="Tinos"/>
          <w:b/>
          <w:bCs/>
        </w:rPr>
      </w:pPr>
      <w:r>
        <w:rPr>
          <w:rFonts w:ascii="Tinos" w:hAnsi="Tinos" w:eastAsia="Tinos" w:cs="Tinos"/>
          <w:b/>
          <w:bCs/>
        </w:rPr>
        <w:t xml:space="preserve">Гарантийные обязательства:</w:t>
      </w:r>
      <w:r>
        <w:rPr>
          <w:rFonts w:ascii="Tinos" w:hAnsi="Tinos" w:cs="Tinos"/>
          <w:b/>
          <w:bCs/>
        </w:rPr>
      </w:r>
    </w:p>
    <w:p>
      <w:pPr>
        <w:jc w:val="both"/>
        <w:spacing w:after="0" w:line="17" w:lineRule="atLeast"/>
        <w:tabs>
          <w:tab w:val="left" w:pos="283" w:leader="none"/>
          <w:tab w:val="left" w:pos="425" w:leader="none"/>
        </w:tabs>
        <w:rPr>
          <w:rFonts w:ascii="Tinos" w:hAnsi="Tinos" w:cs="Tinos"/>
          <w:sz w:val="24"/>
          <w:szCs w:val="24"/>
        </w:rPr>
      </w:pPr>
      <w:r>
        <w:rPr>
          <w:rFonts w:ascii="Tinos" w:hAnsi="Tinos" w:eastAsia="Tinos" w:cs="Tinos"/>
        </w:rPr>
        <w:t xml:space="preserve">Срок гарантии на поставляемые </w:t>
      </w:r>
      <w:r>
        <w:rPr>
          <w:rFonts w:ascii="Tinos" w:hAnsi="Tinos" w:eastAsia="Tinos" w:cs="Tinos"/>
          <w:bCs/>
        </w:rPr>
        <w:t xml:space="preserve">транспортные средства </w:t>
      </w:r>
      <w:r>
        <w:rPr>
          <w:rFonts w:ascii="Tinos" w:hAnsi="Tinos" w:eastAsia="Tinos" w:cs="Tinos"/>
        </w:rPr>
        <w:t xml:space="preserve">должен быть не мен</w:t>
      </w:r>
      <w:r>
        <w:rPr>
          <w:rFonts w:ascii="Tinos" w:hAnsi="Tinos" w:eastAsia="Tinos" w:cs="Tinos"/>
        </w:rPr>
        <w:t xml:space="preserve">ее 24 (двадцати четырех) месяцев. Время начала исчисления гарантийного срока – с момента подписания акта приема-передачи.</w:t>
      </w:r>
      <w:r>
        <w:rPr>
          <w:rFonts w:ascii="Tinos" w:hAnsi="Tinos" w:cs="Tinos"/>
          <w:sz w:val="24"/>
          <w:szCs w:val="24"/>
        </w:rPr>
      </w:r>
    </w:p>
    <w:p>
      <w:pPr>
        <w:jc w:val="both"/>
        <w:spacing w:after="0" w:line="17" w:lineRule="atLeast"/>
        <w:tabs>
          <w:tab w:val="left" w:pos="283" w:leader="none"/>
          <w:tab w:val="left" w:pos="425" w:leader="none"/>
        </w:tabs>
        <w:rPr>
          <w:rFonts w:ascii="Tinos" w:hAnsi="Tinos" w:cs="Tinos"/>
          <w:sz w:val="24"/>
          <w:szCs w:val="24"/>
        </w:rPr>
      </w:pPr>
      <w:r>
        <w:rPr>
          <w:rFonts w:ascii="Tinos" w:hAnsi="Tinos" w:eastAsia="Tinos" w:cs="Tinos"/>
        </w:rPr>
        <w:t xml:space="preserve"> В случае доставки поставщиком транспортного средства к месту поставки своим ходом (перегоном) и достижения пробега (наработки) при ко</w:t>
      </w:r>
      <w:r>
        <w:rPr>
          <w:rFonts w:ascii="Tinos" w:hAnsi="Tinos" w:eastAsia="Tinos" w:cs="Tinos"/>
        </w:rPr>
        <w:t xml:space="preserve">тором в соответствии с рекомендациями завода изготовителя необходимо проводить регламентное техническое обслуживание, поставщик должен обеспечить проведение ТО в дилерском сервисном центре со свой счет с обязательной отметкой в сервисной книжке, а также пр</w:t>
      </w:r>
      <w:r>
        <w:rPr>
          <w:rFonts w:ascii="Tinos" w:hAnsi="Tinos" w:eastAsia="Tinos" w:cs="Tinos"/>
        </w:rPr>
        <w:t xml:space="preserve">едоставить копию акта приемки выполненных работ по проведению ТО.</w:t>
      </w:r>
      <w:r>
        <w:rPr>
          <w:rFonts w:ascii="Tinos" w:hAnsi="Tinos" w:cs="Tinos"/>
          <w:sz w:val="24"/>
          <w:szCs w:val="24"/>
        </w:rPr>
      </w:r>
    </w:p>
    <w:p>
      <w:pPr>
        <w:jc w:val="both"/>
        <w:spacing w:after="0" w:line="17" w:lineRule="atLeast"/>
        <w:tabs>
          <w:tab w:val="left" w:pos="283" w:leader="none"/>
          <w:tab w:val="left" w:pos="425" w:leader="none"/>
        </w:tabs>
        <w:rPr>
          <w:rFonts w:ascii="Tinos" w:hAnsi="Tinos" w:cs="Tinos"/>
          <w:sz w:val="24"/>
          <w:szCs w:val="24"/>
        </w:rPr>
      </w:pPr>
      <w:r>
        <w:rPr>
          <w:rFonts w:ascii="Tinos" w:hAnsi="Tinos" w:eastAsia="Tinos" w:cs="Tinos"/>
        </w:rPr>
        <w:t xml:space="preserve">Поставщик должен обеспечить проведение предпродажной подготовки поставляемой техники за свой счет.</w:t>
      </w:r>
      <w:r>
        <w:rPr>
          <w:rFonts w:ascii="Tinos" w:hAnsi="Tinos" w:cs="Tinos"/>
          <w:sz w:val="24"/>
          <w:szCs w:val="24"/>
        </w:rPr>
      </w:r>
    </w:p>
    <w:p>
      <w:pPr>
        <w:jc w:val="both"/>
        <w:spacing w:after="0" w:line="17" w:lineRule="atLeast"/>
        <w:tabs>
          <w:tab w:val="left" w:pos="283" w:leader="none"/>
          <w:tab w:val="left" w:pos="425" w:leader="none"/>
        </w:tabs>
        <w:rPr>
          <w:rFonts w:ascii="Tinos" w:hAnsi="Tinos" w:cs="Tinos"/>
          <w:sz w:val="24"/>
          <w:szCs w:val="24"/>
        </w:rPr>
      </w:pPr>
      <w:r>
        <w:rPr>
          <w:rFonts w:ascii="Tinos" w:hAnsi="Tinos" w:eastAsia="Tinos" w:cs="Tinos"/>
        </w:rPr>
        <w:t xml:space="preserve">Поставщик должен </w:t>
      </w:r>
      <w:r>
        <w:rPr>
          <w:rFonts w:ascii="Tinos" w:hAnsi="Tinos" w:eastAsia="Tinos" w:cs="Tinos"/>
          <w:color w:val="000000"/>
          <w:spacing w:val="-3"/>
        </w:rPr>
        <w:t xml:space="preserve">за</w:t>
      </w:r>
      <w:r>
        <w:rPr>
          <w:rFonts w:ascii="Tinos" w:hAnsi="Tinos" w:eastAsia="Tinos" w:cs="Tinos"/>
        </w:rPr>
        <w:t xml:space="preserve"> свой счет и в сроки, согласованные с заказчиком, устранять любые дефект</w:t>
      </w:r>
      <w:r>
        <w:rPr>
          <w:rFonts w:ascii="Tinos" w:hAnsi="Tinos" w:eastAsia="Tinos" w:cs="Tinos"/>
        </w:rPr>
        <w:t xml:space="preserve">ы, не связанные с нарушением условий эксплуатации, в поставленной технике, выявленные в течение гарантийного срока. </w:t>
      </w:r>
      <w:r>
        <w:rPr>
          <w:rFonts w:ascii="Tinos" w:hAnsi="Tinos" w:cs="Tinos"/>
          <w:sz w:val="24"/>
          <w:szCs w:val="24"/>
        </w:rPr>
      </w:r>
    </w:p>
    <w:p>
      <w:pPr>
        <w:pStyle w:val="1315"/>
        <w:numPr>
          <w:ilvl w:val="1"/>
          <w:numId w:val="55"/>
        </w:numPr>
        <w:ind w:firstLine="0"/>
        <w:jc w:val="both"/>
        <w:spacing w:line="17" w:lineRule="atLeast"/>
        <w:tabs>
          <w:tab w:val="left" w:pos="283" w:leader="none"/>
          <w:tab w:val="left" w:pos="425" w:leader="none"/>
        </w:tabs>
        <w:rPr>
          <w:rFonts w:ascii="Tinos" w:hAnsi="Tinos" w:cs="Tinos"/>
          <w:sz w:val="22"/>
          <w:szCs w:val="22"/>
        </w:rPr>
      </w:pPr>
      <w:r>
        <w:rPr>
          <w:rFonts w:ascii="Tinos" w:hAnsi="Tinos" w:eastAsia="Tinos" w:cs="Tinos"/>
          <w:sz w:val="22"/>
          <w:szCs w:val="22"/>
          <w:lang w:eastAsia="en-US"/>
        </w:rPr>
        <w:t xml:space="preserve">Поставщик должен обеспечить исполнение гарантийных обязательств по месту базирования транспортного средства, либо оплатить затраты на транс</w:t>
      </w:r>
      <w:r>
        <w:rPr>
          <w:rFonts w:ascii="Tinos" w:hAnsi="Tinos" w:eastAsia="Tinos" w:cs="Tinos"/>
          <w:sz w:val="22"/>
          <w:szCs w:val="22"/>
          <w:lang w:eastAsia="en-US"/>
        </w:rPr>
        <w:t xml:space="preserve">портировку (проезд) к месту устранения неисправности (если сервисный центр находится на расстоянии более </w:t>
      </w:r>
      <w:r>
        <w:rPr>
          <w:rFonts w:ascii="Tinos" w:hAnsi="Tinos" w:eastAsia="Tinos" w:cs="Tinos"/>
          <w:sz w:val="22"/>
          <w:szCs w:val="22"/>
          <w:lang w:val="en-US"/>
        </w:rPr>
        <w:t xml:space="preserve">400</w:t>
      </w:r>
      <w:r>
        <w:rPr>
          <w:rFonts w:ascii="Tinos" w:hAnsi="Tinos" w:eastAsia="Tinos" w:cs="Tinos"/>
          <w:sz w:val="22"/>
          <w:szCs w:val="22"/>
          <w:lang w:eastAsia="en-US"/>
        </w:rPr>
        <w:t xml:space="preserve"> (</w:t>
      </w:r>
      <w:r>
        <w:rPr>
          <w:rFonts w:ascii="Tinos" w:hAnsi="Tinos" w:eastAsia="Tinos" w:cs="Tinos"/>
          <w:sz w:val="22"/>
          <w:szCs w:val="22"/>
          <w:lang w:eastAsia="en-US"/>
        </w:rPr>
        <w:t xml:space="preserve">четыреста) км от места базирования транспортного средства).</w:t>
      </w:r>
      <w:r>
        <w:rPr>
          <w:rFonts w:ascii="Tinos" w:hAnsi="Tinos" w:cs="Tinos"/>
          <w:sz w:val="22"/>
          <w:szCs w:val="22"/>
        </w:rPr>
      </w:r>
    </w:p>
    <w:p>
      <w:pPr>
        <w:ind w:left="5954" w:firstLine="11"/>
        <w:pageBreakBefore/>
        <w:spacing w:after="0" w:line="17" w:lineRule="atLeast"/>
        <w:widowControl w:val="off"/>
        <w:rPr>
          <w:rFonts w:ascii="Tinos" w:hAnsi="Tinos" w:cs="Tinos"/>
          <w:sz w:val="20"/>
          <w:szCs w:val="20"/>
        </w:rPr>
      </w:pPr>
      <w:r>
        <w:rPr>
          <w:rFonts w:ascii="Tinos" w:hAnsi="Tinos" w:eastAsia="Tinos" w:cs="Tinos"/>
          <w:sz w:val="20"/>
          <w:szCs w:val="20"/>
        </w:rPr>
        <w:t xml:space="preserve">           Приложение № 2 </w:t>
      </w:r>
      <w:r>
        <w:rPr>
          <w:rFonts w:ascii="Tinos" w:hAnsi="Tinos" w:cs="Tinos"/>
          <w:sz w:val="20"/>
          <w:szCs w:val="20"/>
        </w:rPr>
      </w:r>
    </w:p>
    <w:p>
      <w:pPr>
        <w:ind w:left="5954" w:firstLine="12"/>
        <w:spacing w:after="0" w:line="17" w:lineRule="atLeast"/>
        <w:widowControl w:val="off"/>
        <w:rPr>
          <w:rFonts w:ascii="Tinos" w:hAnsi="Tinos" w:cs="Tinos"/>
          <w:sz w:val="20"/>
          <w:szCs w:val="20"/>
        </w:rPr>
      </w:pPr>
      <w:r>
        <w:rPr>
          <w:rFonts w:ascii="Tinos" w:hAnsi="Tinos" w:eastAsia="Tinos" w:cs="Tinos"/>
          <w:sz w:val="20"/>
          <w:szCs w:val="20"/>
        </w:rPr>
        <w:t xml:space="preserve">            к Договору № ________________</w:t>
      </w:r>
      <w:r>
        <w:rPr>
          <w:rFonts w:ascii="Tinos" w:hAnsi="Tinos" w:cs="Tinos"/>
          <w:sz w:val="20"/>
          <w:szCs w:val="20"/>
        </w:rPr>
      </w:r>
    </w:p>
    <w:p>
      <w:pPr>
        <w:ind w:left="5954" w:firstLine="12"/>
        <w:spacing w:after="0" w:line="17" w:lineRule="atLeast"/>
        <w:widowControl w:val="off"/>
        <w:tabs>
          <w:tab w:val="right" w:pos="15138" w:leader="none"/>
        </w:tabs>
        <w:rPr>
          <w:rFonts w:ascii="Tinos" w:hAnsi="Tinos" w:cs="Tinos"/>
          <w:sz w:val="20"/>
          <w:szCs w:val="20"/>
        </w:rPr>
      </w:pPr>
      <w:r>
        <w:rPr>
          <w:rFonts w:ascii="Tinos" w:hAnsi="Tinos" w:eastAsia="Tinos" w:cs="Tinos"/>
          <w:sz w:val="20"/>
          <w:szCs w:val="20"/>
        </w:rPr>
        <w:t xml:space="preserve">            от «___» ________ 20__ г.</w:t>
      </w:r>
      <w:r>
        <w:rPr>
          <w:rFonts w:ascii="Tinos" w:hAnsi="Tinos" w:eastAsia="Tinos" w:cs="Tinos"/>
          <w:sz w:val="20"/>
          <w:szCs w:val="20"/>
        </w:rPr>
        <w:tab/>
      </w:r>
      <w:r>
        <w:rPr>
          <w:rFonts w:ascii="Tinos" w:hAnsi="Tinos" w:cs="Tinos"/>
          <w:sz w:val="20"/>
          <w:szCs w:val="20"/>
        </w:rPr>
      </w:r>
    </w:p>
    <w:p>
      <w:pPr>
        <w:ind w:firstLine="567"/>
        <w:jc w:val="right"/>
        <w:spacing w:after="0" w:line="17" w:lineRule="atLeast"/>
        <w:widowControl w:val="off"/>
        <w:rPr>
          <w:rFonts w:ascii="Tinos" w:hAnsi="Tinos" w:cs="Tinos"/>
          <w:sz w:val="20"/>
          <w:szCs w:val="20"/>
        </w:rPr>
      </w:pPr>
      <w:r>
        <w:rPr>
          <w:rFonts w:ascii="Tinos" w:hAnsi="Tinos" w:cs="Tinos"/>
          <w:sz w:val="20"/>
          <w:szCs w:val="20"/>
        </w:rPr>
      </w:r>
      <w:r>
        <w:rPr>
          <w:rFonts w:ascii="Tinos" w:hAnsi="Tinos" w:cs="Tinos"/>
          <w:sz w:val="20"/>
          <w:szCs w:val="20"/>
        </w:rPr>
      </w:r>
    </w:p>
    <w:p>
      <w:pPr>
        <w:ind w:firstLine="567"/>
        <w:jc w:val="right"/>
        <w:spacing w:after="0" w:line="17" w:lineRule="atLeast"/>
        <w:widowControl w:val="off"/>
        <w:rPr>
          <w:rFonts w:ascii="Tinos" w:hAnsi="Tinos" w:cs="Tinos"/>
          <w:sz w:val="20"/>
          <w:szCs w:val="20"/>
        </w:rPr>
      </w:pPr>
      <w:r>
        <w:rPr>
          <w:rFonts w:ascii="Tinos" w:hAnsi="Tinos" w:cs="Tinos"/>
          <w:sz w:val="20"/>
          <w:szCs w:val="20"/>
        </w:rPr>
      </w:r>
      <w:r>
        <w:rPr>
          <w:rFonts w:ascii="Tinos" w:hAnsi="Tinos" w:cs="Tinos"/>
          <w:sz w:val="20"/>
          <w:szCs w:val="20"/>
        </w:rPr>
      </w:r>
    </w:p>
    <w:p>
      <w:pPr>
        <w:ind w:firstLine="567"/>
        <w:jc w:val="right"/>
        <w:spacing w:after="0" w:line="17" w:lineRule="atLeast"/>
        <w:widowControl w:val="off"/>
        <w:rPr>
          <w:rFonts w:ascii="Tinos" w:hAnsi="Tinos" w:cs="Tinos"/>
          <w:sz w:val="20"/>
          <w:szCs w:val="20"/>
        </w:rPr>
      </w:pPr>
      <w:r>
        <w:rPr>
          <w:rFonts w:ascii="Tinos" w:hAnsi="Tinos" w:cs="Tinos"/>
          <w:sz w:val="20"/>
          <w:szCs w:val="20"/>
        </w:rPr>
      </w:r>
      <w:r>
        <w:rPr>
          <w:rFonts w:ascii="Tinos" w:hAnsi="Tinos" w:cs="Tinos"/>
          <w:sz w:val="20"/>
          <w:szCs w:val="20"/>
        </w:rPr>
      </w:r>
    </w:p>
    <w:p>
      <w:pPr>
        <w:jc w:val="center"/>
        <w:spacing w:after="0" w:line="17" w:lineRule="atLeast"/>
        <w:tabs>
          <w:tab w:val="left" w:pos="2490" w:leader="none"/>
        </w:tabs>
        <w:rPr>
          <w:rFonts w:ascii="Tinos" w:hAnsi="Tinos" w:cs="Tinos"/>
          <w:b/>
          <w:sz w:val="20"/>
          <w:szCs w:val="20"/>
        </w:rPr>
      </w:pPr>
      <w:r>
        <w:rPr>
          <w:rFonts w:ascii="Tinos" w:hAnsi="Tinos" w:eastAsia="Tinos" w:cs="Tinos"/>
          <w:b/>
          <w:sz w:val="20"/>
          <w:szCs w:val="20"/>
        </w:rPr>
        <w:t xml:space="preserve">ТАБЛИЦА СТОИМОСТИ ПОСТАВКИ ТОВАРА</w:t>
      </w:r>
      <w:bookmarkEnd w:id="0"/>
      <w:r>
        <w:rPr>
          <w:rFonts w:ascii="Tinos" w:hAnsi="Tinos" w:cs="Tinos"/>
          <w:b/>
          <w:sz w:val="20"/>
          <w:szCs w:val="20"/>
        </w:rPr>
      </w:r>
    </w:p>
    <w:tbl>
      <w:tblPr>
        <w:tblpPr w:horzAnchor="page" w:tblpX="992" w:vertAnchor="page" w:tblpY="3786" w:leftFromText="180" w:topFromText="0" w:rightFromText="180" w:bottomFromText="200"/>
        <w:tblW w:w="1078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708"/>
        <w:gridCol w:w="851"/>
        <w:gridCol w:w="1275"/>
        <w:gridCol w:w="2126"/>
        <w:gridCol w:w="1131"/>
        <w:gridCol w:w="1134"/>
        <w:gridCol w:w="709"/>
        <w:gridCol w:w="709"/>
        <w:gridCol w:w="992"/>
        <w:gridCol w:w="20"/>
        <w:gridCol w:w="1114"/>
        <w:gridCol w:w="20"/>
      </w:tblGrid>
      <w:tr>
        <w:tblPrEx/>
        <w:trPr>
          <w:gridAfter w:val="1"/>
          <w:trHeight w:val="846"/>
        </w:trPr>
        <w:tc>
          <w:tcPr>
            <w:tcBorders>
              <w:top w:val="single" w:color="auto" w:sz="4" w:space="0"/>
              <w:left w:val="single" w:color="auto" w:sz="4" w:space="0"/>
              <w:bottom w:val="single" w:color="auto" w:sz="4" w:space="0"/>
              <w:right w:val="single" w:color="auto" w:sz="4" w:space="0"/>
            </w:tcBorders>
            <w:tcW w:w="708" w:type="dxa"/>
            <w:vAlign w:val="center"/>
            <w:textDirection w:val="lrTb"/>
            <w:noWrap w:val="false"/>
          </w:tcPr>
          <w:p>
            <w:pPr>
              <w:ind w:left="60"/>
              <w:jc w:val="center"/>
              <w:spacing w:after="0" w:line="17" w:lineRule="atLeast"/>
              <w:widowControl w:val="off"/>
              <w:rPr>
                <w:rFonts w:ascii="Tinos" w:hAnsi="Tinos" w:cs="Tinos"/>
                <w:sz w:val="20"/>
                <w:szCs w:val="20"/>
              </w:rPr>
            </w:pPr>
            <w:r>
              <w:rPr>
                <w:rFonts w:ascii="Tinos" w:hAnsi="Tinos" w:eastAsia="Tinos" w:cs="Tinos"/>
                <w:b/>
                <w:bCs/>
                <w:sz w:val="20"/>
                <w:szCs w:val="20"/>
              </w:rPr>
              <w:t xml:space="preserve">№ п/п</w:t>
            </w:r>
            <w:r>
              <w:rPr>
                <w:rFonts w:ascii="Tinos" w:hAnsi="Tinos" w:cs="Tinos"/>
                <w:sz w:val="20"/>
                <w:szCs w:val="20"/>
              </w:rPr>
            </w:r>
          </w:p>
        </w:tc>
        <w:tc>
          <w:tcPr>
            <w:gridSpan w:val="2"/>
            <w:tcBorders>
              <w:top w:val="single" w:color="auto" w:sz="4" w:space="0"/>
              <w:left w:val="single" w:color="auto" w:sz="4" w:space="0"/>
              <w:bottom w:val="single" w:color="auto" w:sz="4" w:space="0"/>
              <w:right w:val="single" w:color="auto" w:sz="4" w:space="0"/>
            </w:tcBorders>
            <w:tcW w:w="2126" w:type="dxa"/>
            <w:vAlign w:val="center"/>
            <w:textDirection w:val="lrTb"/>
            <w:noWrap w:val="false"/>
          </w:tcPr>
          <w:p>
            <w:pPr>
              <w:ind w:left="60"/>
              <w:jc w:val="center"/>
              <w:spacing w:after="0" w:line="17" w:lineRule="atLeast"/>
              <w:widowControl w:val="off"/>
              <w:rPr>
                <w:rFonts w:ascii="Tinos" w:hAnsi="Tinos" w:cs="Tinos"/>
                <w:sz w:val="20"/>
                <w:szCs w:val="20"/>
              </w:rPr>
            </w:pPr>
            <w:r>
              <w:rPr>
                <w:rFonts w:ascii="Tinos" w:hAnsi="Tinos" w:eastAsia="Tinos" w:cs="Tinos"/>
                <w:b/>
                <w:bCs/>
                <w:sz w:val="20"/>
                <w:szCs w:val="20"/>
              </w:rPr>
              <w:t xml:space="preserve">Наименование продукции</w:t>
            </w:r>
            <w:r>
              <w:rPr>
                <w:rFonts w:ascii="Tinos" w:hAnsi="Tinos" w:cs="Tinos"/>
                <w:sz w:val="20"/>
                <w:szCs w:val="20"/>
              </w:rPr>
            </w:r>
          </w:p>
        </w:tc>
        <w:tc>
          <w:tcPr>
            <w:tcBorders>
              <w:top w:val="single" w:color="auto" w:sz="4" w:space="0"/>
              <w:left w:val="single" w:color="auto" w:sz="4" w:space="0"/>
              <w:bottom w:val="single" w:color="auto" w:sz="4" w:space="0"/>
              <w:right w:val="single" w:color="auto" w:sz="4" w:space="0"/>
            </w:tcBorders>
            <w:tcW w:w="2126" w:type="dxa"/>
            <w:vAlign w:val="center"/>
            <w:textDirection w:val="lrTb"/>
            <w:noWrap w:val="false"/>
          </w:tcPr>
          <w:p>
            <w:pPr>
              <w:ind w:left="60"/>
              <w:jc w:val="center"/>
              <w:spacing w:after="0" w:line="17" w:lineRule="atLeast"/>
              <w:widowControl w:val="off"/>
              <w:rPr>
                <w:rFonts w:ascii="Tinos" w:hAnsi="Tinos" w:cs="Tinos"/>
                <w:b/>
                <w:sz w:val="20"/>
                <w:szCs w:val="20"/>
              </w:rPr>
            </w:pPr>
            <w:r>
              <w:rPr>
                <w:rFonts w:ascii="Tinos" w:hAnsi="Tinos" w:eastAsia="Tinos" w:cs="Tinos"/>
                <w:b/>
                <w:sz w:val="20"/>
                <w:szCs w:val="20"/>
              </w:rPr>
              <w:t xml:space="preserve">Полная характеристика (комплектация) ТМЦ и оборудования</w:t>
            </w:r>
            <w:r>
              <w:rPr>
                <w:rFonts w:ascii="Tinos" w:hAnsi="Tinos" w:cs="Tinos"/>
                <w:b/>
                <w:sz w:val="20"/>
                <w:szCs w:val="20"/>
              </w:rPr>
            </w:r>
          </w:p>
        </w:tc>
        <w:tc>
          <w:tcPr>
            <w:tcBorders>
              <w:top w:val="single" w:color="auto" w:sz="4" w:space="0"/>
              <w:left w:val="single" w:color="auto" w:sz="4" w:space="0"/>
              <w:bottom w:val="single" w:color="auto" w:sz="4" w:space="0"/>
              <w:right w:val="single" w:color="auto" w:sz="4" w:space="0"/>
            </w:tcBorders>
            <w:tcW w:w="1131" w:type="dxa"/>
            <w:textDirection w:val="lrTb"/>
            <w:noWrap w:val="false"/>
          </w:tcPr>
          <w:p>
            <w:pPr>
              <w:ind w:left="-105" w:right="-111"/>
              <w:jc w:val="center"/>
              <w:spacing w:after="0" w:line="17" w:lineRule="atLeast"/>
              <w:widowControl w:val="off"/>
              <w:rPr>
                <w:rFonts w:ascii="Tinos" w:hAnsi="Tinos" w:eastAsia="Tinos" w:cs="Tinos"/>
                <w:b/>
                <w:sz w:val="20"/>
                <w:szCs w:val="20"/>
              </w:rPr>
            </w:pPr>
            <w:r>
              <w:rPr>
                <w:rFonts w:ascii="Tinos" w:hAnsi="Tinos" w:eastAsia="Tinos" w:cs="Tinos"/>
                <w:b/>
                <w:sz w:val="20"/>
                <w:szCs w:val="20"/>
              </w:rPr>
              <w:t xml:space="preserve">Номер реестровой записи товара (указывается номер реестровой записи товара при его наличии)</w:t>
            </w:r>
            <w:r>
              <w:rPr>
                <w:rFonts w:ascii="Tinos" w:hAnsi="Tinos" w:eastAsia="Tinos" w:cs="Tinos"/>
                <w:b/>
                <w:sz w:val="20"/>
                <w:szCs w:val="20"/>
              </w:rPr>
            </w:r>
          </w:p>
        </w:tc>
        <w:tc>
          <w:tcPr>
            <w:tcBorders>
              <w:top w:val="single" w:color="auto" w:sz="4" w:space="0"/>
              <w:left w:val="single" w:color="auto" w:sz="4" w:space="0"/>
              <w:bottom w:val="single" w:color="auto" w:sz="4" w:space="0"/>
              <w:right w:val="single" w:color="auto" w:sz="4" w:space="0"/>
            </w:tcBorders>
            <w:tcW w:w="1134" w:type="dxa"/>
            <w:vAlign w:val="center"/>
            <w:textDirection w:val="lrTb"/>
            <w:noWrap w:val="false"/>
          </w:tcPr>
          <w:p>
            <w:pPr>
              <w:ind w:left="-105" w:right="-111"/>
              <w:jc w:val="center"/>
              <w:spacing w:after="0" w:line="17" w:lineRule="atLeast"/>
              <w:widowControl w:val="off"/>
              <w:rPr>
                <w:rFonts w:ascii="Tinos" w:hAnsi="Tinos" w:cs="Tinos"/>
                <w:b/>
                <w:sz w:val="20"/>
                <w:szCs w:val="20"/>
              </w:rPr>
            </w:pPr>
            <w:r>
              <w:rPr>
                <w:rFonts w:ascii="Tinos" w:hAnsi="Tinos" w:eastAsia="Tinos" w:cs="Tinos"/>
                <w:b/>
                <w:sz w:val="20"/>
                <w:szCs w:val="20"/>
              </w:rPr>
              <w:t xml:space="preserve">Страна происхождения товара и его производитель</w:t>
            </w:r>
            <w:r>
              <w:rPr>
                <w:rFonts w:ascii="Tinos" w:hAnsi="Tinos" w:cs="Tinos"/>
                <w:b/>
                <w:sz w:val="20"/>
                <w:szCs w:val="20"/>
              </w:rPr>
            </w:r>
          </w:p>
        </w:tc>
        <w:tc>
          <w:tcPr>
            <w:tcBorders>
              <w:top w:val="single" w:color="auto" w:sz="4" w:space="0"/>
              <w:left w:val="single" w:color="auto" w:sz="4" w:space="0"/>
              <w:bottom w:val="single" w:color="auto" w:sz="4" w:space="0"/>
              <w:right w:val="single" w:color="auto" w:sz="4" w:space="0"/>
            </w:tcBorders>
            <w:tcW w:w="709" w:type="dxa"/>
            <w:vAlign w:val="center"/>
            <w:textDirection w:val="lrTb"/>
            <w:noWrap w:val="false"/>
          </w:tcPr>
          <w:p>
            <w:pPr>
              <w:ind w:left="60"/>
              <w:jc w:val="center"/>
              <w:spacing w:after="0" w:line="17" w:lineRule="atLeast"/>
              <w:widowControl w:val="off"/>
              <w:rPr>
                <w:rFonts w:ascii="Tinos" w:hAnsi="Tinos" w:cs="Tinos"/>
                <w:sz w:val="20"/>
                <w:szCs w:val="20"/>
              </w:rPr>
            </w:pPr>
            <w:r>
              <w:rPr>
                <w:rFonts w:ascii="Tinos" w:hAnsi="Tinos" w:eastAsia="Tinos" w:cs="Tinos"/>
                <w:b/>
                <w:bCs/>
                <w:sz w:val="20"/>
                <w:szCs w:val="20"/>
              </w:rPr>
              <w:t xml:space="preserve">Ед.</w:t>
            </w:r>
            <w:r>
              <w:rPr>
                <w:rFonts w:ascii="Tinos" w:hAnsi="Tinos" w:eastAsia="Tinos" w:cs="Tinos"/>
                <w:b/>
                <w:bCs/>
                <w:sz w:val="20"/>
                <w:szCs w:val="20"/>
              </w:rPr>
              <w:br/>
              <w:t xml:space="preserve">изм.</w:t>
            </w:r>
            <w:r>
              <w:rPr>
                <w:rFonts w:ascii="Tinos" w:hAnsi="Tinos" w:cs="Tinos"/>
                <w:sz w:val="20"/>
                <w:szCs w:val="20"/>
              </w:rPr>
            </w:r>
          </w:p>
        </w:tc>
        <w:tc>
          <w:tcPr>
            <w:tcBorders>
              <w:top w:val="single" w:color="auto" w:sz="4" w:space="0"/>
              <w:left w:val="single" w:color="auto" w:sz="4" w:space="0"/>
              <w:bottom w:val="single" w:color="auto" w:sz="4" w:space="0"/>
              <w:right w:val="single" w:color="auto" w:sz="4" w:space="0"/>
            </w:tcBorders>
            <w:tcW w:w="709" w:type="dxa"/>
            <w:vAlign w:val="center"/>
            <w:textDirection w:val="lrTb"/>
            <w:noWrap w:val="false"/>
          </w:tcPr>
          <w:p>
            <w:pPr>
              <w:ind w:left="60"/>
              <w:jc w:val="center"/>
              <w:spacing w:after="0" w:line="17" w:lineRule="atLeast"/>
              <w:widowControl w:val="off"/>
              <w:rPr>
                <w:rFonts w:ascii="Tinos" w:hAnsi="Tinos" w:cs="Tinos"/>
                <w:sz w:val="20"/>
                <w:szCs w:val="20"/>
              </w:rPr>
            </w:pPr>
            <w:r>
              <w:rPr>
                <w:rFonts w:ascii="Tinos" w:hAnsi="Tinos" w:eastAsia="Tinos" w:cs="Tinos"/>
                <w:b/>
                <w:bCs/>
                <w:sz w:val="20"/>
                <w:szCs w:val="20"/>
              </w:rPr>
              <w:t xml:space="preserve">Кол-во</w:t>
            </w:r>
            <w:r>
              <w:rPr>
                <w:rFonts w:ascii="Tinos" w:hAnsi="Tinos" w:cs="Tinos"/>
                <w:sz w:val="20"/>
                <w:szCs w:val="20"/>
              </w:rPr>
            </w:r>
          </w:p>
        </w:tc>
        <w:tc>
          <w:tcPr>
            <w:tcBorders>
              <w:top w:val="single" w:color="auto" w:sz="4" w:space="0"/>
              <w:left w:val="single" w:color="auto" w:sz="4" w:space="0"/>
              <w:bottom w:val="single" w:color="auto" w:sz="4" w:space="0"/>
              <w:right w:val="single" w:color="auto" w:sz="4" w:space="0"/>
            </w:tcBorders>
            <w:tcW w:w="992" w:type="dxa"/>
            <w:vAlign w:val="center"/>
            <w:textDirection w:val="lrTb"/>
            <w:noWrap w:val="false"/>
          </w:tcPr>
          <w:p>
            <w:pPr>
              <w:ind w:left="60"/>
              <w:jc w:val="center"/>
              <w:spacing w:after="0" w:line="17" w:lineRule="atLeast"/>
              <w:widowControl w:val="off"/>
              <w:rPr>
                <w:rFonts w:ascii="Tinos" w:hAnsi="Tinos" w:cs="Tinos"/>
                <w:b/>
                <w:bCs/>
                <w:sz w:val="20"/>
                <w:szCs w:val="20"/>
              </w:rPr>
            </w:pPr>
            <w:r>
              <w:rPr>
                <w:rFonts w:ascii="Tinos" w:hAnsi="Tinos" w:eastAsia="Tinos" w:cs="Tinos"/>
                <w:b/>
                <w:bCs/>
                <w:sz w:val="20"/>
                <w:szCs w:val="20"/>
              </w:rPr>
              <w:t xml:space="preserve">Цена за</w:t>
            </w:r>
            <w:r>
              <w:rPr>
                <w:rFonts w:ascii="Tinos" w:hAnsi="Tinos" w:cs="Tinos"/>
                <w:b/>
                <w:bCs/>
                <w:sz w:val="20"/>
                <w:szCs w:val="20"/>
              </w:rPr>
            </w:r>
          </w:p>
          <w:p>
            <w:pPr>
              <w:ind w:left="60"/>
              <w:jc w:val="center"/>
              <w:spacing w:after="0" w:line="17" w:lineRule="atLeast"/>
              <w:widowControl w:val="off"/>
              <w:rPr>
                <w:rFonts w:ascii="Tinos" w:hAnsi="Tinos" w:cs="Tinos"/>
                <w:sz w:val="20"/>
                <w:szCs w:val="20"/>
              </w:rPr>
            </w:pPr>
            <w:r>
              <w:rPr>
                <w:rFonts w:ascii="Tinos" w:hAnsi="Tinos" w:eastAsia="Tinos" w:cs="Tinos"/>
                <w:b/>
                <w:bCs/>
                <w:sz w:val="20"/>
                <w:szCs w:val="20"/>
              </w:rPr>
              <w:t xml:space="preserve">ед. без НДС</w:t>
            </w:r>
            <w:r>
              <w:rPr>
                <w:rFonts w:ascii="Tinos" w:hAnsi="Tinos" w:cs="Tinos"/>
                <w:sz w:val="20"/>
                <w:szCs w:val="20"/>
              </w:rPr>
            </w:r>
          </w:p>
        </w:tc>
        <w:tc>
          <w:tcPr>
            <w:gridSpan w:val="2"/>
            <w:tcBorders>
              <w:top w:val="single" w:color="auto" w:sz="4" w:space="0"/>
              <w:left w:val="single" w:color="auto" w:sz="4" w:space="0"/>
              <w:bottom w:val="single" w:color="auto" w:sz="4" w:space="0"/>
              <w:right w:val="single" w:color="auto" w:sz="4" w:space="0"/>
            </w:tcBorders>
            <w:tcW w:w="1134" w:type="dxa"/>
            <w:vAlign w:val="center"/>
            <w:textDirection w:val="lrTb"/>
            <w:noWrap w:val="false"/>
          </w:tcPr>
          <w:p>
            <w:pPr>
              <w:ind w:left="60"/>
              <w:jc w:val="center"/>
              <w:spacing w:after="0" w:line="17" w:lineRule="atLeast"/>
              <w:widowControl w:val="off"/>
              <w:rPr>
                <w:rFonts w:ascii="Tinos" w:hAnsi="Tinos" w:cs="Tinos"/>
                <w:b/>
                <w:bCs/>
                <w:sz w:val="20"/>
                <w:szCs w:val="20"/>
              </w:rPr>
            </w:pPr>
            <w:r>
              <w:rPr>
                <w:rFonts w:ascii="Tinos" w:hAnsi="Tinos" w:eastAsia="Tinos" w:cs="Tinos"/>
                <w:b/>
                <w:bCs/>
                <w:sz w:val="20"/>
                <w:szCs w:val="20"/>
              </w:rPr>
              <w:t xml:space="preserve">Сумма,</w:t>
            </w:r>
            <w:r>
              <w:rPr>
                <w:rFonts w:ascii="Tinos" w:hAnsi="Tinos" w:cs="Tinos"/>
                <w:b/>
                <w:bCs/>
                <w:sz w:val="20"/>
                <w:szCs w:val="20"/>
              </w:rPr>
            </w:r>
          </w:p>
          <w:p>
            <w:pPr>
              <w:ind w:left="60"/>
              <w:jc w:val="center"/>
              <w:spacing w:after="0" w:line="17" w:lineRule="atLeast"/>
              <w:widowControl w:val="off"/>
              <w:rPr>
                <w:rFonts w:ascii="Tinos" w:hAnsi="Tinos" w:cs="Tinos"/>
                <w:sz w:val="20"/>
                <w:szCs w:val="20"/>
              </w:rPr>
            </w:pPr>
            <w:r>
              <w:rPr>
                <w:rFonts w:ascii="Tinos" w:hAnsi="Tinos" w:eastAsia="Tinos" w:cs="Tinos"/>
                <w:b/>
                <w:bCs/>
                <w:sz w:val="20"/>
                <w:szCs w:val="20"/>
              </w:rPr>
              <w:t xml:space="preserve">без НДС, руб.</w:t>
            </w:r>
            <w:r>
              <w:rPr>
                <w:rFonts w:ascii="Tinos" w:hAnsi="Tinos" w:cs="Tinos"/>
                <w:sz w:val="20"/>
                <w:szCs w:val="20"/>
              </w:rPr>
            </w:r>
          </w:p>
        </w:tc>
      </w:tr>
      <w:tr>
        <w:tblPrEx/>
        <w:trPr>
          <w:gridAfter w:val="1"/>
          <w:trHeight w:val="406"/>
        </w:trPr>
        <w:tc>
          <w:tcPr>
            <w:tcBorders>
              <w:top w:val="single" w:color="auto" w:sz="4" w:space="0"/>
              <w:left w:val="single" w:color="auto" w:sz="4" w:space="0"/>
              <w:bottom w:val="single" w:color="auto" w:sz="4" w:space="0"/>
              <w:right w:val="single" w:color="auto" w:sz="4" w:space="0"/>
            </w:tcBorders>
            <w:tcW w:w="708" w:type="dxa"/>
            <w:vAlign w:val="center"/>
            <w:textDirection w:val="lrTb"/>
            <w:noWrap w:val="false"/>
          </w:tcPr>
          <w:p>
            <w:pPr>
              <w:ind w:left="60"/>
              <w:jc w:val="center"/>
              <w:spacing w:after="0" w:line="17" w:lineRule="atLeast"/>
              <w:widowControl w:val="off"/>
              <w:rPr>
                <w:rFonts w:ascii="Tinos" w:hAnsi="Tinos" w:cs="Tinos"/>
                <w:sz w:val="20"/>
                <w:szCs w:val="20"/>
              </w:rPr>
            </w:pPr>
            <w:r>
              <w:rPr>
                <w:rFonts w:ascii="Tinos" w:hAnsi="Tinos" w:eastAsia="Tinos" w:cs="Tinos"/>
                <w:sz w:val="20"/>
                <w:szCs w:val="20"/>
              </w:rPr>
              <w:t xml:space="preserve">1</w:t>
            </w:r>
            <w:r>
              <w:rPr>
                <w:rFonts w:ascii="Tinos" w:hAnsi="Tinos" w:cs="Tinos"/>
                <w:sz w:val="20"/>
                <w:szCs w:val="20"/>
              </w:rPr>
            </w:r>
          </w:p>
        </w:tc>
        <w:tc>
          <w:tcPr>
            <w:gridSpan w:val="2"/>
            <w:tcBorders>
              <w:top w:val="single" w:color="auto" w:sz="4" w:space="0"/>
              <w:left w:val="single" w:color="auto" w:sz="4" w:space="0"/>
              <w:bottom w:val="single" w:color="auto" w:sz="4" w:space="0"/>
              <w:right w:val="single" w:color="auto" w:sz="4" w:space="0"/>
            </w:tcBorders>
            <w:tcW w:w="2126" w:type="dxa"/>
            <w:vAlign w:val="center"/>
            <w:textDirection w:val="lrTb"/>
            <w:noWrap w:val="false"/>
          </w:tcPr>
          <w:p>
            <w:pPr>
              <w:jc w:val="center"/>
              <w:spacing w:after="0" w:line="17" w:lineRule="atLeast"/>
              <w:rPr>
                <w:rFonts w:ascii="Tinos" w:hAnsi="Tinos" w:cs="Tinos"/>
                <w:color w:val="000000"/>
                <w:sz w:val="20"/>
                <w:szCs w:val="20"/>
              </w:rPr>
            </w:pPr>
            <w:r>
              <w:rPr>
                <w:rFonts w:ascii="Tinos" w:hAnsi="Tinos" w:eastAsia="Tinos" w:cs="Tinos"/>
                <w:sz w:val="20"/>
                <w:szCs w:val="20"/>
              </w:rPr>
              <w:t xml:space="preserve">Автогидроподъемник ПСС-131.18Э  на шасси  ГАЗ-C42A43</w:t>
            </w:r>
            <w:r>
              <w:rPr>
                <w:rFonts w:ascii="Tinos" w:hAnsi="Tinos" w:cs="Tinos"/>
                <w:color w:val="000000"/>
                <w:sz w:val="20"/>
                <w:szCs w:val="20"/>
              </w:rPr>
            </w:r>
          </w:p>
        </w:tc>
        <w:tc>
          <w:tcPr>
            <w:tcBorders>
              <w:top w:val="single" w:color="auto" w:sz="4" w:space="0"/>
              <w:left w:val="single" w:color="auto" w:sz="4" w:space="0"/>
              <w:bottom w:val="single" w:color="auto" w:sz="4" w:space="0"/>
              <w:right w:val="single" w:color="auto" w:sz="4" w:space="0"/>
            </w:tcBorders>
            <w:tcW w:w="2126" w:type="dxa"/>
            <w:vAlign w:val="center"/>
            <w:textDirection w:val="lrTb"/>
            <w:noWrap w:val="false"/>
          </w:tcPr>
          <w:p>
            <w:pPr>
              <w:jc w:val="center"/>
              <w:spacing w:after="0" w:line="17" w:lineRule="atLeast"/>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rFonts w:ascii="Tinos" w:hAnsi="Tinos" w:cs="Tinos"/>
                <w:color w:val="000000"/>
                <w:sz w:val="20"/>
                <w:szCs w:val="20"/>
              </w:rPr>
            </w:pPr>
            <w:r>
              <w:rPr>
                <w:rFonts w:ascii="Tinos" w:hAnsi="Tinos" w:eastAsia="Tinos" w:cs="Tinos"/>
                <w:sz w:val="20"/>
                <w:szCs w:val="20"/>
              </w:rPr>
              <w:t xml:space="preserve">В соответствии с Приложением №1 к договору</w:t>
            </w:r>
            <w:r>
              <w:rPr>
                <w:rFonts w:ascii="Tinos" w:hAnsi="Tinos" w:cs="Tinos"/>
                <w:color w:val="000000"/>
                <w:sz w:val="20"/>
                <w:szCs w:val="20"/>
              </w:rPr>
            </w:r>
          </w:p>
        </w:tc>
        <w:tc>
          <w:tcPr>
            <w:tcBorders>
              <w:top w:val="single" w:color="auto" w:sz="4" w:space="0"/>
              <w:left w:val="single" w:color="auto" w:sz="4" w:space="0"/>
              <w:bottom w:val="single" w:color="auto" w:sz="4" w:space="0"/>
              <w:right w:val="single" w:color="auto" w:sz="4" w:space="0"/>
            </w:tcBorders>
            <w:tcW w:w="1131" w:type="dxa"/>
            <w:textDirection w:val="lrTb"/>
            <w:noWrap w:val="false"/>
          </w:tcPr>
          <w:p>
            <w:pPr>
              <w:jc w:val="center"/>
              <w:spacing w:after="0" w:line="17" w:lineRule="atLeast"/>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rFonts w:ascii="Tinos" w:hAnsi="Tinos" w:cs="Tinos"/>
                <w:color w:val="000000"/>
                <w:sz w:val="20"/>
                <w:szCs w:val="20"/>
              </w:rPr>
            </w:pPr>
            <w:r>
              <w:rPr>
                <w:rFonts w:ascii="Tinos" w:hAnsi="Tinos" w:cs="Tinos"/>
                <w:color w:val="000000"/>
                <w:sz w:val="20"/>
                <w:szCs w:val="20"/>
              </w:rPr>
            </w:r>
            <w:r>
              <w:rPr>
                <w:rFonts w:ascii="Tinos" w:hAnsi="Tinos" w:cs="Tinos"/>
                <w:color w:val="000000"/>
                <w:sz w:val="20"/>
                <w:szCs w:val="20"/>
              </w:rPr>
            </w:r>
          </w:p>
        </w:tc>
        <w:tc>
          <w:tcPr>
            <w:tcBorders>
              <w:top w:val="single" w:color="auto" w:sz="4" w:space="0"/>
              <w:left w:val="single" w:color="auto" w:sz="4" w:space="0"/>
              <w:bottom w:val="single" w:color="auto" w:sz="4" w:space="0"/>
              <w:right w:val="single" w:color="auto" w:sz="4" w:space="0"/>
            </w:tcBorders>
            <w:tcW w:w="1134" w:type="dxa"/>
            <w:vAlign w:val="center"/>
            <w:textDirection w:val="lrTb"/>
            <w:noWrap w:val="false"/>
          </w:tcPr>
          <w:p>
            <w:pPr>
              <w:jc w:val="center"/>
              <w:spacing w:after="0" w:line="17" w:lineRule="atLeast"/>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rFonts w:ascii="Tinos" w:hAnsi="Tinos" w:cs="Tinos"/>
                <w:color w:val="000000"/>
                <w:sz w:val="20"/>
                <w:szCs w:val="20"/>
              </w:rPr>
            </w:pPr>
            <w:r>
              <w:rPr>
                <w:rFonts w:ascii="Tinos" w:hAnsi="Tinos" w:cs="Tinos"/>
                <w:color w:val="000000"/>
                <w:sz w:val="20"/>
                <w:szCs w:val="20"/>
              </w:rPr>
            </w:r>
            <w:r>
              <w:rPr>
                <w:rFonts w:ascii="Tinos" w:hAnsi="Tinos" w:cs="Tinos"/>
                <w:color w:val="000000"/>
                <w:sz w:val="20"/>
                <w:szCs w:val="20"/>
              </w:rPr>
            </w:r>
          </w:p>
        </w:tc>
        <w:tc>
          <w:tcPr>
            <w:tcBorders>
              <w:top w:val="single" w:color="auto" w:sz="4" w:space="0"/>
              <w:left w:val="single" w:color="auto" w:sz="4" w:space="0"/>
              <w:bottom w:val="single" w:color="auto" w:sz="4" w:space="0"/>
              <w:right w:val="single" w:color="auto" w:sz="4" w:space="0"/>
            </w:tcBorders>
            <w:tcW w:w="709" w:type="dxa"/>
            <w:vAlign w:val="center"/>
            <w:textDirection w:val="lrTb"/>
            <w:noWrap w:val="false"/>
          </w:tcPr>
          <w:p>
            <w:pPr>
              <w:jc w:val="center"/>
              <w:spacing w:after="0" w:line="17" w:lineRule="atLeast"/>
              <w:rPr>
                <w:rFonts w:ascii="Tinos" w:hAnsi="Tinos" w:cs="Tinos"/>
                <w:bCs/>
                <w:sz w:val="20"/>
                <w:szCs w:val="20"/>
              </w:rPr>
            </w:pPr>
            <w:r>
              <w:rPr>
                <w:rFonts w:ascii="Tinos" w:hAnsi="Tinos" w:eastAsia="Tinos" w:cs="Tinos"/>
                <w:bCs/>
                <w:sz w:val="20"/>
                <w:szCs w:val="20"/>
              </w:rPr>
              <w:t xml:space="preserve">Шт.</w:t>
            </w:r>
            <w:r>
              <w:rPr>
                <w:rFonts w:ascii="Tinos" w:hAnsi="Tinos" w:cs="Tinos"/>
                <w:bCs/>
                <w:sz w:val="20"/>
                <w:szCs w:val="20"/>
              </w:rPr>
            </w:r>
          </w:p>
        </w:tc>
        <w:tc>
          <w:tcPr>
            <w:tcBorders>
              <w:top w:val="single" w:color="auto" w:sz="4" w:space="0"/>
              <w:left w:val="single" w:color="auto" w:sz="4" w:space="0"/>
              <w:bottom w:val="single" w:color="auto" w:sz="4" w:space="0"/>
              <w:right w:val="single" w:color="auto" w:sz="4" w:space="0"/>
            </w:tcBorders>
            <w:tcW w:w="709" w:type="dxa"/>
            <w:vAlign w:val="center"/>
            <w:textDirection w:val="lrTb"/>
            <w:noWrap w:val="false"/>
          </w:tcPr>
          <w:p>
            <w:pPr>
              <w:jc w:val="center"/>
              <w:spacing w:after="0" w:line="17" w:lineRule="atLeast"/>
              <w:rPr>
                <w:rFonts w:ascii="Tinos" w:hAnsi="Tinos" w:cs="Tinos"/>
                <w:bCs/>
                <w:sz w:val="20"/>
                <w:szCs w:val="20"/>
              </w:rPr>
            </w:pPr>
            <w:r>
              <w:rPr>
                <w:rFonts w:ascii="Tinos" w:hAnsi="Tinos" w:eastAsia="Tinos" w:cs="Tinos"/>
                <w:bCs/>
                <w:sz w:val="20"/>
                <w:szCs w:val="20"/>
              </w:rPr>
              <w:t xml:space="preserve">1</w:t>
            </w:r>
            <w:r>
              <w:rPr>
                <w:rFonts w:ascii="Tinos" w:hAnsi="Tinos" w:cs="Tinos"/>
                <w:bCs/>
                <w:sz w:val="20"/>
                <w:szCs w:val="20"/>
              </w:rPr>
            </w:r>
          </w:p>
        </w:tc>
        <w:tc>
          <w:tcPr>
            <w:tcBorders>
              <w:top w:val="single" w:color="auto" w:sz="4" w:space="0"/>
              <w:left w:val="single" w:color="auto" w:sz="4" w:space="0"/>
              <w:bottom w:val="single" w:color="auto" w:sz="4" w:space="0"/>
              <w:right w:val="single" w:color="auto" w:sz="4" w:space="0"/>
            </w:tcBorders>
            <w:tcW w:w="992" w:type="dxa"/>
            <w:vAlign w:val="center"/>
            <w:textDirection w:val="lrTb"/>
            <w:noWrap w:val="false"/>
          </w:tcPr>
          <w:p>
            <w:pPr>
              <w:jc w:val="center"/>
              <w:spacing w:after="0" w:line="17" w:lineRule="atLeast"/>
              <w:rPr>
                <w:rFonts w:ascii="Tinos" w:hAnsi="Tinos" w:cs="Tinos"/>
                <w:sz w:val="20"/>
                <w:szCs w:val="20"/>
              </w:rPr>
            </w:pPr>
            <w:r>
              <w:rPr>
                <w:rFonts w:ascii="Tinos" w:hAnsi="Tinos" w:cs="Tinos"/>
                <w:sz w:val="20"/>
                <w:szCs w:val="20"/>
              </w:rPr>
            </w:r>
            <w:r>
              <w:rPr>
                <w:rFonts w:ascii="Tinos" w:hAnsi="Tinos" w:cs="Tinos"/>
                <w:sz w:val="20"/>
                <w:szCs w:val="20"/>
              </w:rPr>
            </w:r>
          </w:p>
        </w:tc>
        <w:tc>
          <w:tcPr>
            <w:gridSpan w:val="2"/>
            <w:tcBorders>
              <w:top w:val="single" w:color="auto" w:sz="4" w:space="0"/>
              <w:left w:val="single" w:color="auto" w:sz="4" w:space="0"/>
              <w:bottom w:val="single" w:color="auto" w:sz="4" w:space="0"/>
              <w:right w:val="single" w:color="auto" w:sz="4" w:space="0"/>
            </w:tcBorders>
            <w:tcW w:w="1134" w:type="dxa"/>
            <w:vAlign w:val="center"/>
            <w:textDirection w:val="lrTb"/>
            <w:noWrap w:val="false"/>
          </w:tcPr>
          <w:p>
            <w:pPr>
              <w:jc w:val="center"/>
              <w:spacing w:after="0" w:line="17" w:lineRule="atLeast"/>
              <w:rPr>
                <w:rFonts w:ascii="Tinos" w:hAnsi="Tinos" w:cs="Tinos"/>
                <w:sz w:val="20"/>
                <w:szCs w:val="20"/>
              </w:rPr>
            </w:pPr>
            <w:r>
              <w:rPr>
                <w:rFonts w:ascii="Tinos" w:hAnsi="Tinos" w:cs="Tinos"/>
                <w:sz w:val="20"/>
                <w:szCs w:val="20"/>
              </w:rPr>
            </w:r>
            <w:r>
              <w:rPr>
                <w:rFonts w:ascii="Tinos" w:hAnsi="Tinos" w:cs="Tinos"/>
                <w:sz w:val="20"/>
                <w:szCs w:val="20"/>
              </w:rPr>
            </w:r>
          </w:p>
        </w:tc>
      </w:tr>
      <w:tr>
        <w:tblPrEx/>
        <w:trPr/>
        <w:tc>
          <w:tcPr>
            <w:gridSpan w:val="2"/>
            <w:tcBorders>
              <w:top w:val="single" w:color="auto" w:sz="4" w:space="0"/>
              <w:left w:val="single" w:color="auto" w:sz="4" w:space="0"/>
              <w:bottom w:val="single" w:color="auto" w:sz="4" w:space="0"/>
              <w:right w:val="single" w:color="auto" w:sz="4" w:space="0"/>
            </w:tcBorders>
            <w:tcW w:w="1559" w:type="dxa"/>
            <w:textDirection w:val="lrTb"/>
            <w:noWrap w:val="false"/>
          </w:tcPr>
          <w:p>
            <w:pPr>
              <w:ind w:left="60"/>
              <w:jc w:val="right"/>
              <w:spacing w:after="0" w:line="17" w:lineRule="atLeast"/>
              <w:widowControl w:val="off"/>
              <w:rPr>
                <w:rFonts w:ascii="Tinos" w:hAnsi="Tinos" w:eastAsia="Tinos" w:cs="Tinos"/>
                <w:b/>
                <w:bCs/>
                <w:sz w:val="20"/>
                <w:szCs w:val="20"/>
              </w:rPr>
            </w:pPr>
            <w:r>
              <w:rPr>
                <w:rFonts w:ascii="Tinos" w:hAnsi="Tinos" w:eastAsia="Tinos" w:cs="Tinos"/>
                <w:b/>
                <w:bCs/>
                <w:sz w:val="20"/>
                <w:szCs w:val="20"/>
              </w:rPr>
            </w:r>
            <w:r>
              <w:rPr>
                <w:rFonts w:ascii="Tinos" w:hAnsi="Tinos" w:eastAsia="Tinos" w:cs="Tinos"/>
                <w:b/>
                <w:bCs/>
                <w:sz w:val="20"/>
                <w:szCs w:val="20"/>
              </w:rPr>
            </w:r>
          </w:p>
        </w:tc>
        <w:tc>
          <w:tcPr>
            <w:gridSpan w:val="8"/>
            <w:tcBorders>
              <w:top w:val="single" w:color="auto" w:sz="4" w:space="0"/>
              <w:left w:val="single" w:color="auto" w:sz="4" w:space="0"/>
              <w:bottom w:val="single" w:color="auto" w:sz="4" w:space="0"/>
              <w:right w:val="single" w:color="auto" w:sz="4" w:space="0"/>
            </w:tcBorders>
            <w:tcW w:w="8096" w:type="dxa"/>
            <w:vAlign w:val="center"/>
            <w:textDirection w:val="lrTb"/>
            <w:noWrap w:val="false"/>
          </w:tcPr>
          <w:p>
            <w:pPr>
              <w:ind w:left="60"/>
              <w:jc w:val="right"/>
              <w:spacing w:after="0" w:line="17" w:lineRule="atLeast"/>
              <w:widowControl w:val="off"/>
              <w:rPr>
                <w:rFonts w:ascii="Tinos" w:hAnsi="Tinos" w:cs="Tinos"/>
                <w:b/>
                <w:bCs/>
                <w:sz w:val="20"/>
                <w:szCs w:val="20"/>
              </w:rPr>
            </w:pPr>
            <w:r>
              <w:rPr>
                <w:rFonts w:ascii="Tinos" w:hAnsi="Tinos" w:eastAsia="Tinos" w:cs="Tinos"/>
                <w:b/>
                <w:bCs/>
                <w:sz w:val="20"/>
                <w:szCs w:val="20"/>
              </w:rPr>
              <w:t xml:space="preserve">Итого общая цена без НДС, руб.</w:t>
            </w:r>
            <w:r>
              <w:rPr>
                <w:rFonts w:ascii="Tinos" w:hAnsi="Tinos" w:cs="Tinos"/>
                <w:b/>
                <w:bCs/>
                <w:sz w:val="20"/>
                <w:szCs w:val="20"/>
              </w:rPr>
            </w:r>
          </w:p>
        </w:tc>
        <w:tc>
          <w:tcPr>
            <w:gridSpan w:val="2"/>
            <w:tcBorders>
              <w:top w:val="single" w:color="auto" w:sz="4" w:space="0"/>
              <w:left w:val="single" w:color="auto" w:sz="4" w:space="0"/>
              <w:bottom w:val="single" w:color="auto" w:sz="4" w:space="0"/>
              <w:right w:val="single" w:color="auto" w:sz="4" w:space="0"/>
            </w:tcBorders>
            <w:tcW w:w="1134" w:type="dxa"/>
            <w:vAlign w:val="center"/>
            <w:textDirection w:val="lrTb"/>
            <w:noWrap w:val="false"/>
          </w:tcPr>
          <w:p>
            <w:pPr>
              <w:ind w:left="60"/>
              <w:jc w:val="center"/>
              <w:spacing w:after="0" w:line="17" w:lineRule="atLeast"/>
              <w:widowControl w:val="off"/>
              <w:rPr>
                <w:rFonts w:ascii="Tinos" w:hAnsi="Tinos" w:cs="Tinos"/>
                <w:b/>
                <w:sz w:val="20"/>
                <w:szCs w:val="20"/>
              </w:rPr>
            </w:pPr>
            <w:r>
              <w:rPr>
                <w:rFonts w:ascii="Tinos" w:hAnsi="Tinos" w:cs="Tinos"/>
                <w:b/>
                <w:sz w:val="20"/>
                <w:szCs w:val="20"/>
              </w:rPr>
            </w:r>
            <w:r>
              <w:rPr>
                <w:rFonts w:ascii="Tinos" w:hAnsi="Tinos" w:cs="Tinos"/>
                <w:b/>
                <w:sz w:val="20"/>
                <w:szCs w:val="20"/>
              </w:rPr>
            </w:r>
          </w:p>
        </w:tc>
      </w:tr>
      <w:tr>
        <w:tblPrEx/>
        <w:trPr/>
        <w:tc>
          <w:tcPr>
            <w:gridSpan w:val="2"/>
            <w:tcBorders>
              <w:top w:val="single" w:color="auto" w:sz="4" w:space="0"/>
              <w:left w:val="single" w:color="auto" w:sz="4" w:space="0"/>
              <w:bottom w:val="single" w:color="auto" w:sz="4" w:space="0"/>
              <w:right w:val="single" w:color="auto" w:sz="4" w:space="0"/>
            </w:tcBorders>
            <w:tcW w:w="1559" w:type="dxa"/>
            <w:textDirection w:val="lrTb"/>
            <w:noWrap w:val="false"/>
          </w:tcPr>
          <w:p>
            <w:pPr>
              <w:ind w:left="60"/>
              <w:jc w:val="right"/>
              <w:spacing w:after="0" w:line="17" w:lineRule="atLeast"/>
              <w:widowControl w:val="off"/>
              <w:rPr>
                <w:rFonts w:ascii="Tinos" w:hAnsi="Tinos" w:eastAsia="Tinos" w:cs="Tinos"/>
                <w:b/>
                <w:bCs/>
                <w:sz w:val="20"/>
                <w:szCs w:val="20"/>
              </w:rPr>
            </w:pPr>
            <w:r>
              <w:rPr>
                <w:rFonts w:ascii="Tinos" w:hAnsi="Tinos" w:eastAsia="Tinos" w:cs="Tinos"/>
                <w:b/>
                <w:bCs/>
                <w:sz w:val="20"/>
                <w:szCs w:val="20"/>
              </w:rPr>
            </w:r>
            <w:r>
              <w:rPr>
                <w:rFonts w:ascii="Tinos" w:hAnsi="Tinos" w:eastAsia="Tinos" w:cs="Tinos"/>
                <w:b/>
                <w:bCs/>
                <w:sz w:val="20"/>
                <w:szCs w:val="20"/>
              </w:rPr>
            </w:r>
          </w:p>
        </w:tc>
        <w:tc>
          <w:tcPr>
            <w:gridSpan w:val="8"/>
            <w:tcBorders>
              <w:top w:val="single" w:color="auto" w:sz="4" w:space="0"/>
              <w:left w:val="single" w:color="auto" w:sz="4" w:space="0"/>
              <w:bottom w:val="single" w:color="auto" w:sz="4" w:space="0"/>
              <w:right w:val="single" w:color="auto" w:sz="4" w:space="0"/>
            </w:tcBorders>
            <w:tcW w:w="8096" w:type="dxa"/>
            <w:vAlign w:val="center"/>
            <w:textDirection w:val="lrTb"/>
            <w:noWrap w:val="false"/>
          </w:tcPr>
          <w:p>
            <w:pPr>
              <w:ind w:left="60"/>
              <w:jc w:val="right"/>
              <w:spacing w:after="0" w:line="17" w:lineRule="atLeast"/>
              <w:widowControl w:val="off"/>
              <w:rPr>
                <w:rFonts w:ascii="Tinos" w:hAnsi="Tinos" w:cs="Tinos"/>
                <w:b/>
                <w:bCs/>
                <w:sz w:val="20"/>
                <w:szCs w:val="20"/>
              </w:rPr>
            </w:pPr>
            <w:r>
              <w:rPr>
                <w:rFonts w:ascii="Tinos" w:hAnsi="Tinos" w:eastAsia="Tinos" w:cs="Tinos"/>
                <w:b/>
                <w:bCs/>
                <w:sz w:val="20"/>
                <w:szCs w:val="20"/>
              </w:rPr>
              <w:t xml:space="preserve">Сумма НДС, руб.</w:t>
            </w:r>
            <w:r>
              <w:rPr>
                <w:rFonts w:ascii="Tinos" w:hAnsi="Tinos" w:cs="Tinos"/>
                <w:b/>
                <w:bCs/>
                <w:sz w:val="20"/>
                <w:szCs w:val="20"/>
              </w:rPr>
            </w:r>
          </w:p>
        </w:tc>
        <w:tc>
          <w:tcPr>
            <w:gridSpan w:val="2"/>
            <w:tcBorders>
              <w:top w:val="single" w:color="auto" w:sz="4" w:space="0"/>
              <w:left w:val="single" w:color="auto" w:sz="4" w:space="0"/>
              <w:bottom w:val="single" w:color="auto" w:sz="4" w:space="0"/>
              <w:right w:val="single" w:color="auto" w:sz="4" w:space="0"/>
            </w:tcBorders>
            <w:tcW w:w="1134" w:type="dxa"/>
            <w:vAlign w:val="center"/>
            <w:textDirection w:val="lrTb"/>
            <w:noWrap w:val="false"/>
          </w:tcPr>
          <w:p>
            <w:pPr>
              <w:ind w:left="60"/>
              <w:jc w:val="center"/>
              <w:spacing w:after="0" w:line="17" w:lineRule="atLeast"/>
              <w:widowControl w:val="off"/>
              <w:rPr>
                <w:rFonts w:ascii="Tinos" w:hAnsi="Tinos" w:cs="Tinos"/>
                <w:b/>
                <w:sz w:val="20"/>
                <w:szCs w:val="20"/>
              </w:rPr>
            </w:pPr>
            <w:r>
              <w:rPr>
                <w:rFonts w:ascii="Tinos" w:hAnsi="Tinos" w:cs="Tinos"/>
                <w:b/>
                <w:sz w:val="20"/>
                <w:szCs w:val="20"/>
              </w:rPr>
            </w:r>
            <w:r>
              <w:rPr>
                <w:rFonts w:ascii="Tinos" w:hAnsi="Tinos" w:cs="Tinos"/>
                <w:b/>
                <w:sz w:val="20"/>
                <w:szCs w:val="20"/>
              </w:rPr>
            </w:r>
          </w:p>
        </w:tc>
      </w:tr>
      <w:tr>
        <w:tblPrEx/>
        <w:trPr/>
        <w:tc>
          <w:tcPr>
            <w:gridSpan w:val="2"/>
            <w:tcBorders>
              <w:top w:val="single" w:color="auto" w:sz="4" w:space="0"/>
              <w:left w:val="single" w:color="auto" w:sz="4" w:space="0"/>
              <w:bottom w:val="single" w:color="auto" w:sz="4" w:space="0"/>
              <w:right w:val="single" w:color="auto" w:sz="4" w:space="0"/>
            </w:tcBorders>
            <w:tcW w:w="1559" w:type="dxa"/>
            <w:textDirection w:val="lrTb"/>
            <w:noWrap w:val="false"/>
          </w:tcPr>
          <w:p>
            <w:pPr>
              <w:ind w:left="60"/>
              <w:jc w:val="right"/>
              <w:spacing w:after="0" w:line="17" w:lineRule="atLeast"/>
              <w:widowControl w:val="off"/>
              <w:rPr>
                <w:rFonts w:ascii="Tinos" w:hAnsi="Tinos" w:eastAsia="Tinos" w:cs="Tinos"/>
                <w:b/>
                <w:bCs/>
                <w:sz w:val="20"/>
                <w:szCs w:val="20"/>
              </w:rPr>
            </w:pPr>
            <w:r>
              <w:rPr>
                <w:rFonts w:ascii="Tinos" w:hAnsi="Tinos" w:eastAsia="Tinos" w:cs="Tinos"/>
                <w:b/>
                <w:bCs/>
                <w:sz w:val="20"/>
                <w:szCs w:val="20"/>
              </w:rPr>
            </w:r>
            <w:r>
              <w:rPr>
                <w:rFonts w:ascii="Tinos" w:hAnsi="Tinos" w:eastAsia="Tinos" w:cs="Tinos"/>
                <w:b/>
                <w:bCs/>
                <w:sz w:val="20"/>
                <w:szCs w:val="20"/>
              </w:rPr>
            </w:r>
          </w:p>
        </w:tc>
        <w:tc>
          <w:tcPr>
            <w:gridSpan w:val="8"/>
            <w:tcBorders>
              <w:top w:val="single" w:color="auto" w:sz="4" w:space="0"/>
              <w:left w:val="single" w:color="auto" w:sz="4" w:space="0"/>
              <w:bottom w:val="single" w:color="auto" w:sz="4" w:space="0"/>
              <w:right w:val="single" w:color="auto" w:sz="4" w:space="0"/>
            </w:tcBorders>
            <w:tcW w:w="8096" w:type="dxa"/>
            <w:vAlign w:val="center"/>
            <w:textDirection w:val="lrTb"/>
            <w:noWrap w:val="false"/>
          </w:tcPr>
          <w:p>
            <w:pPr>
              <w:ind w:left="60"/>
              <w:jc w:val="right"/>
              <w:spacing w:after="0" w:line="17" w:lineRule="atLeast"/>
              <w:widowControl w:val="off"/>
              <w:rPr>
                <w:rFonts w:ascii="Tinos" w:hAnsi="Tinos" w:cs="Tinos"/>
                <w:b/>
                <w:bCs/>
                <w:sz w:val="20"/>
                <w:szCs w:val="20"/>
              </w:rPr>
            </w:pPr>
            <w:r>
              <w:rPr>
                <w:rFonts w:ascii="Tinos" w:hAnsi="Tinos" w:eastAsia="Tinos" w:cs="Tinos"/>
                <w:b/>
                <w:bCs/>
                <w:sz w:val="20"/>
                <w:szCs w:val="20"/>
              </w:rPr>
              <w:t xml:space="preserve">Общая сумма с НДС, руб.</w:t>
            </w:r>
            <w:r>
              <w:rPr>
                <w:rFonts w:ascii="Tinos" w:hAnsi="Tinos" w:cs="Tinos"/>
                <w:b/>
                <w:bCs/>
                <w:sz w:val="20"/>
                <w:szCs w:val="20"/>
              </w:rPr>
            </w:r>
          </w:p>
        </w:tc>
        <w:tc>
          <w:tcPr>
            <w:gridSpan w:val="2"/>
            <w:tcBorders>
              <w:top w:val="single" w:color="auto" w:sz="4" w:space="0"/>
              <w:left w:val="single" w:color="auto" w:sz="4" w:space="0"/>
              <w:bottom w:val="single" w:color="auto" w:sz="4" w:space="0"/>
              <w:right w:val="single" w:color="auto" w:sz="4" w:space="0"/>
            </w:tcBorders>
            <w:tcW w:w="1134" w:type="dxa"/>
            <w:vAlign w:val="center"/>
            <w:textDirection w:val="lrTb"/>
            <w:noWrap w:val="false"/>
          </w:tcPr>
          <w:p>
            <w:pPr>
              <w:ind w:left="60"/>
              <w:jc w:val="center"/>
              <w:spacing w:after="0" w:line="17" w:lineRule="atLeast"/>
              <w:widowControl w:val="off"/>
              <w:rPr>
                <w:rFonts w:ascii="Tinos" w:hAnsi="Tinos" w:cs="Tinos"/>
                <w:b/>
                <w:sz w:val="20"/>
                <w:szCs w:val="20"/>
              </w:rPr>
            </w:pPr>
            <w:r>
              <w:rPr>
                <w:rFonts w:ascii="Tinos" w:hAnsi="Tinos" w:cs="Tinos"/>
                <w:b/>
                <w:sz w:val="20"/>
                <w:szCs w:val="20"/>
              </w:rPr>
            </w:r>
            <w:r>
              <w:rPr>
                <w:rFonts w:ascii="Tinos" w:hAnsi="Tinos" w:cs="Tinos"/>
                <w:b/>
                <w:sz w:val="20"/>
                <w:szCs w:val="20"/>
              </w:rPr>
            </w:r>
          </w:p>
        </w:tc>
      </w:tr>
    </w:tbl>
    <w:p>
      <w:pPr>
        <w:jc w:val="both"/>
        <w:spacing w:after="0" w:line="17" w:lineRule="atLeast"/>
        <w:widowControl w:val="off"/>
        <w:tabs>
          <w:tab w:val="left" w:pos="-534" w:leader="none"/>
          <w:tab w:val="left" w:pos="1276" w:leader="none"/>
          <w:tab w:val="num" w:pos="1626" w:leader="none"/>
          <w:tab w:val="num" w:pos="1909" w:leader="none"/>
        </w:tabs>
        <w:rPr>
          <w:rFonts w:ascii="Tinos" w:hAnsi="Tinos" w:cs="Tinos"/>
          <w:sz w:val="20"/>
          <w:szCs w:val="20"/>
        </w:rPr>
      </w:pPr>
      <w:r>
        <w:rPr>
          <w:rFonts w:ascii="Tinos" w:hAnsi="Tinos" w:cs="Tinos"/>
          <w:sz w:val="20"/>
          <w:szCs w:val="20"/>
        </w:rPr>
      </w:r>
      <w:r>
        <w:rPr>
          <w:rFonts w:ascii="Tinos" w:hAnsi="Tinos" w:cs="Tinos"/>
          <w:sz w:val="20"/>
          <w:szCs w:val="20"/>
        </w:rPr>
      </w:r>
    </w:p>
    <w:p>
      <w:pPr>
        <w:jc w:val="both"/>
        <w:spacing w:after="0" w:line="17" w:lineRule="atLeast"/>
        <w:widowControl w:val="off"/>
        <w:rPr>
          <w:rFonts w:ascii="Tinos" w:hAnsi="Tinos" w:cs="Tinos"/>
          <w:sz w:val="20"/>
          <w:szCs w:val="20"/>
        </w:rPr>
      </w:pPr>
      <w:r>
        <w:rPr>
          <w:rFonts w:ascii="Tinos" w:hAnsi="Tinos" w:cs="Tinos"/>
          <w:sz w:val="20"/>
          <w:szCs w:val="20"/>
        </w:rPr>
      </w:r>
      <w:r>
        <w:rPr>
          <w:rFonts w:ascii="Tinos" w:hAnsi="Tinos" w:cs="Tinos"/>
          <w:sz w:val="20"/>
          <w:szCs w:val="20"/>
        </w:rPr>
      </w:r>
    </w:p>
    <w:p>
      <w:pPr>
        <w:jc w:val="both"/>
        <w:spacing w:after="0" w:line="17" w:lineRule="atLeast"/>
        <w:widowControl w:val="off"/>
        <w:rPr>
          <w:rFonts w:ascii="Tinos" w:hAnsi="Tinos" w:cs="Tinos"/>
          <w:sz w:val="20"/>
          <w:szCs w:val="20"/>
        </w:rPr>
      </w:pPr>
      <w:r>
        <w:rPr>
          <w:rFonts w:ascii="Tinos" w:hAnsi="Tinos" w:cs="Tinos"/>
          <w:sz w:val="20"/>
          <w:szCs w:val="20"/>
        </w:rPr>
      </w:r>
      <w:r>
        <w:rPr>
          <w:rFonts w:ascii="Tinos" w:hAnsi="Tinos" w:cs="Tinos"/>
          <w:sz w:val="20"/>
          <w:szCs w:val="20"/>
        </w:rPr>
      </w:r>
    </w:p>
    <w:p>
      <w:pPr>
        <w:jc w:val="both"/>
        <w:spacing w:after="0" w:line="17" w:lineRule="atLeast"/>
        <w:widowControl w:val="off"/>
        <w:rPr>
          <w:rFonts w:ascii="Tinos" w:hAnsi="Tinos" w:cs="Tinos"/>
        </w:rPr>
      </w:pPr>
      <w:r>
        <w:rPr>
          <w:rFonts w:ascii="Tinos" w:hAnsi="Tinos" w:eastAsia="Tinos" w:cs="Tinos"/>
          <w:sz w:val="20"/>
          <w:szCs w:val="20"/>
        </w:rPr>
        <w:t xml:space="preserve"> </w:t>
      </w:r>
      <w:r>
        <w:rPr>
          <w:rFonts w:ascii="Tinos" w:hAnsi="Tinos" w:eastAsia="Tinos" w:cs="Tinos"/>
        </w:rPr>
        <w:t xml:space="preserve">Срок поставки: 90 (девяносто) календарных дней с момента заключения Договора на поставку.</w:t>
      </w:r>
      <w:r>
        <w:rPr>
          <w:rFonts w:ascii="Tinos" w:hAnsi="Tinos" w:cs="Tinos"/>
        </w:rPr>
      </w:r>
    </w:p>
    <w:p>
      <w:pPr>
        <w:jc w:val="both"/>
        <w:spacing w:after="0" w:line="17" w:lineRule="atLeast"/>
        <w:widowControl w:val="off"/>
        <w:rPr>
          <w:rFonts w:ascii="Tinos" w:hAnsi="Tinos" w:cs="Tinos"/>
        </w:rPr>
      </w:pPr>
      <w:r>
        <w:rPr>
          <w:rFonts w:ascii="Tinos" w:hAnsi="Tinos" w:eastAsia="Tinos" w:cs="Tinos"/>
        </w:rPr>
        <w:t xml:space="preserve"> Способ поставки товара - силами и средствами Поставщика до адреса: г. Кызыл, ул. Колхозная 2Б.</w:t>
      </w:r>
      <w:r>
        <w:rPr>
          <w:rFonts w:ascii="Tinos" w:hAnsi="Tinos" w:cs="Tinos"/>
        </w:rPr>
      </w:r>
    </w:p>
    <w:p>
      <w:pPr>
        <w:jc w:val="both"/>
        <w:spacing w:after="0" w:line="17" w:lineRule="atLeast"/>
        <w:widowControl w:val="off"/>
        <w:rPr>
          <w:rFonts w:ascii="Tinos" w:hAnsi="Tinos" w:cs="Tinos"/>
        </w:rPr>
      </w:pPr>
      <w:r>
        <w:rPr>
          <w:rFonts w:ascii="Tinos" w:hAnsi="Tinos" w:eastAsia="Tinos" w:cs="Tinos"/>
        </w:rPr>
        <w:t xml:space="preserve"> Транспортные расходы учтены в стоимости товара. Стоимость тары учтена</w:t>
      </w:r>
      <w:r>
        <w:rPr>
          <w:rFonts w:ascii="Tinos" w:hAnsi="Tinos" w:eastAsia="Tinos" w:cs="Tinos"/>
        </w:rPr>
        <w:t xml:space="preserve"> в стоимости товара.</w:t>
      </w:r>
      <w:r>
        <w:rPr>
          <w:rFonts w:ascii="Tinos" w:hAnsi="Tinos" w:cs="Tinos"/>
        </w:rPr>
      </w:r>
    </w:p>
    <w:p>
      <w:pPr>
        <w:ind w:left="-392" w:firstLine="34"/>
        <w:jc w:val="both"/>
        <w:spacing w:after="0" w:line="17" w:lineRule="atLeast"/>
        <w:widowControl w:val="off"/>
        <w:tabs>
          <w:tab w:val="left" w:pos="-534" w:leader="none"/>
          <w:tab w:val="left" w:pos="1276" w:leader="none"/>
          <w:tab w:val="num" w:pos="1626" w:leader="none"/>
          <w:tab w:val="num" w:pos="1909" w:leader="none"/>
        </w:tabs>
        <w:rPr>
          <w:rFonts w:ascii="Tinos" w:hAnsi="Tinos" w:cs="Tinos"/>
        </w:rPr>
      </w:pPr>
      <w:r>
        <w:rPr>
          <w:rFonts w:ascii="Tinos" w:hAnsi="Tinos" w:cs="Tinos"/>
        </w:rPr>
      </w:r>
      <w:r>
        <w:rPr>
          <w:rFonts w:ascii="Tinos" w:hAnsi="Tinos" w:cs="Tinos"/>
        </w:rPr>
      </w:r>
    </w:p>
    <w:p>
      <w:pPr>
        <w:spacing w:after="0" w:line="17" w:lineRule="atLeast"/>
        <w:widowControl w:val="off"/>
        <w:rPr>
          <w:rFonts w:ascii="Tinos" w:hAnsi="Tinos" w:cs="Tinos"/>
          <w:bCs/>
        </w:rPr>
        <w:suppressLineNumbers/>
      </w:pPr>
      <w:r>
        <w:rPr>
          <w:rFonts w:ascii="Tinos" w:hAnsi="Tinos" w:cs="Tinos"/>
          <w:bCs/>
        </w:rPr>
      </w:r>
      <w:r>
        <w:rPr>
          <w:rFonts w:ascii="Tinos" w:hAnsi="Tinos" w:cs="Tinos"/>
          <w:bCs/>
        </w:rPr>
      </w:r>
    </w:p>
    <w:p>
      <w:pPr>
        <w:spacing w:after="0" w:line="17" w:lineRule="atLeast"/>
        <w:widowControl w:val="off"/>
        <w:rPr>
          <w:rFonts w:ascii="Tinos" w:hAnsi="Tinos" w:cs="Tinos"/>
          <w:bCs/>
        </w:rPr>
        <w:suppressLineNumbers/>
      </w:pPr>
      <w:r>
        <w:rPr>
          <w:rFonts w:ascii="Tinos" w:hAnsi="Tinos" w:eastAsia="Tinos" w:cs="Tinos"/>
          <w:bCs/>
        </w:rPr>
        <w:t xml:space="preserve"> ПОКУПАТЕЛЬ                </w:t>
      </w:r>
      <w:r>
        <w:rPr>
          <w:rFonts w:ascii="Tinos" w:hAnsi="Tinos" w:eastAsia="Tinos" w:cs="Tinos"/>
          <w:bCs/>
        </w:rPr>
        <w:tab/>
      </w:r>
      <w:r>
        <w:rPr>
          <w:rFonts w:ascii="Tinos" w:hAnsi="Tinos" w:eastAsia="Tinos" w:cs="Tinos"/>
          <w:bCs/>
        </w:rPr>
        <w:tab/>
        <w:t xml:space="preserve">                      ПОСТАВЩИК</w:t>
      </w:r>
      <w:r>
        <w:rPr>
          <w:rFonts w:ascii="Tinos" w:hAnsi="Tinos" w:cs="Tinos"/>
          <w:bCs/>
        </w:rPr>
      </w:r>
    </w:p>
    <w:p>
      <w:pPr>
        <w:ind w:left="60"/>
        <w:spacing w:after="0" w:line="17" w:lineRule="atLeast"/>
        <w:widowControl w:val="off"/>
        <w:rPr>
          <w:rFonts w:ascii="Tinos" w:hAnsi="Tinos" w:cs="Tinos"/>
          <w:bCs/>
        </w:rPr>
        <w:suppressLineNumbers/>
      </w:pPr>
      <w:r>
        <w:rPr>
          <w:rFonts w:ascii="Tinos" w:hAnsi="Tinos" w:cs="Tinos"/>
          <w:bCs/>
        </w:rPr>
      </w:r>
      <w:r>
        <w:rPr>
          <w:rFonts w:ascii="Tinos" w:hAnsi="Tinos" w:cs="Tinos"/>
          <w:bCs/>
        </w:rPr>
      </w:r>
    </w:p>
    <w:p>
      <w:pPr>
        <w:spacing w:after="0" w:line="17" w:lineRule="atLeast"/>
        <w:widowControl w:val="off"/>
        <w:rPr>
          <w:rFonts w:ascii="Tinos" w:hAnsi="Tinos" w:cs="Tinos"/>
          <w:bCs/>
        </w:rPr>
        <w:suppressLineNumbers/>
      </w:pPr>
      <w:r>
        <w:rPr>
          <w:rFonts w:ascii="Tinos" w:hAnsi="Tinos" w:cs="Tinos"/>
          <w:bCs/>
        </w:rPr>
      </w:r>
      <w:r>
        <w:rPr>
          <w:rFonts w:ascii="Tinos" w:hAnsi="Tinos" w:cs="Tinos"/>
          <w:bCs/>
        </w:rPr>
      </w:r>
    </w:p>
    <w:p>
      <w:pPr>
        <w:spacing w:after="0" w:line="17" w:lineRule="atLeast"/>
        <w:widowControl w:val="off"/>
        <w:rPr>
          <w:rFonts w:ascii="Tinos" w:hAnsi="Tinos" w:cs="Tinos"/>
        </w:rPr>
        <w:suppressLineNumbers/>
      </w:pPr>
      <w:r>
        <w:rPr>
          <w:rFonts w:ascii="Tinos" w:hAnsi="Tinos" w:eastAsia="Tinos" w:cs="Tinos"/>
          <w:bCs/>
        </w:rPr>
        <w:t xml:space="preserve"> _________________/</w:t>
      </w:r>
      <w:r>
        <w:rPr>
          <w:rFonts w:ascii="Tinos" w:hAnsi="Tinos" w:eastAsia="Tinos" w:cs="Tinos"/>
        </w:rPr>
        <w:t xml:space="preserve"> А.В. Лукин</w:t>
      </w:r>
      <w:r>
        <w:rPr>
          <w:rFonts w:ascii="Tinos" w:hAnsi="Tinos" w:eastAsia="Tinos" w:cs="Tinos"/>
          <w:bCs/>
        </w:rPr>
        <w:t xml:space="preserve"> /                             ____________________/ /</w:t>
      </w:r>
      <w:r>
        <w:rPr>
          <w:rFonts w:ascii="Tinos" w:hAnsi="Tinos" w:eastAsia="Tinos" w:cs="Tinos"/>
        </w:rPr>
        <w:t xml:space="preserve">   </w:t>
      </w:r>
      <w:r>
        <w:rPr>
          <w:rFonts w:ascii="Tinos" w:hAnsi="Tinos" w:cs="Tinos"/>
        </w:rPr>
      </w:r>
    </w:p>
    <w:p>
      <w:pPr>
        <w:spacing w:after="0" w:line="17" w:lineRule="atLeast"/>
        <w:widowControl w:val="off"/>
        <w:rPr>
          <w:rFonts w:ascii="Tinos" w:hAnsi="Tinos" w:cs="Tinos"/>
        </w:rPr>
        <w:suppressLineNumbers/>
      </w:pPr>
      <w:r>
        <w:rPr>
          <w:rFonts w:ascii="Tinos" w:hAnsi="Tinos" w:eastAsia="Tinos" w:cs="Tinos"/>
        </w:rPr>
        <w:t xml:space="preserve"> М.П.                                                                             </w:t>
      </w:r>
      <w:r>
        <w:rPr>
          <w:rFonts w:ascii="Tinos" w:hAnsi="Tinos" w:eastAsia="Tinos" w:cs="Tinos"/>
        </w:rPr>
        <w:t xml:space="preserve"> М.П.   </w:t>
      </w:r>
      <w:r>
        <w:rPr>
          <w:rFonts w:ascii="Tinos" w:hAnsi="Tinos" w:cs="Tinos"/>
        </w:rPr>
      </w:r>
    </w:p>
    <w:p>
      <w:pPr>
        <w:spacing w:after="0" w:line="17" w:lineRule="atLeast"/>
        <w:widowControl w:val="off"/>
        <w:rPr>
          <w:rFonts w:ascii="Tinos" w:hAnsi="Tinos" w:cs="Tinos"/>
        </w:rPr>
      </w:pPr>
      <w:r/>
      <w:bookmarkStart w:id="2" w:name="_GoBack"/>
      <w:r/>
      <w:bookmarkEnd w:id="2"/>
      <w:r/>
      <w:r>
        <w:rPr>
          <w:rFonts w:ascii="Tinos" w:hAnsi="Tinos" w:cs="Tinos"/>
        </w:rPr>
      </w:r>
    </w:p>
    <w:p>
      <w:pPr>
        <w:jc w:val="both"/>
        <w:spacing w:after="0" w:line="17" w:lineRule="atLeast"/>
        <w:widowControl w:val="off"/>
        <w:tabs>
          <w:tab w:val="left" w:pos="-534" w:leader="none"/>
          <w:tab w:val="left" w:pos="1276" w:leader="none"/>
          <w:tab w:val="num" w:pos="1626" w:leader="none"/>
          <w:tab w:val="num" w:pos="1909" w:leader="none"/>
        </w:tabs>
        <w:rPr>
          <w:rFonts w:ascii="Tinos" w:hAnsi="Tinos" w:cs="Tinos"/>
          <w:sz w:val="20"/>
          <w:szCs w:val="20"/>
        </w:rPr>
      </w:pPr>
      <w:r>
        <w:rPr>
          <w:rFonts w:ascii="Tinos" w:hAnsi="Tinos" w:cs="Tinos"/>
          <w:sz w:val="20"/>
          <w:szCs w:val="20"/>
        </w:rPr>
      </w:r>
      <w:r>
        <w:rPr>
          <w:rFonts w:ascii="Tinos" w:hAnsi="Tinos" w:cs="Tinos"/>
          <w:sz w:val="20"/>
          <w:szCs w:val="20"/>
        </w:rPr>
      </w:r>
    </w:p>
    <w:p>
      <w:pPr>
        <w:ind w:left="-392" w:firstLine="34"/>
        <w:jc w:val="both"/>
        <w:spacing w:after="0" w:line="17" w:lineRule="atLeast"/>
        <w:widowControl w:val="off"/>
        <w:tabs>
          <w:tab w:val="left" w:pos="-534" w:leader="none"/>
          <w:tab w:val="left" w:pos="1276" w:leader="none"/>
          <w:tab w:val="num" w:pos="1626" w:leader="none"/>
          <w:tab w:val="num" w:pos="1909" w:leader="none"/>
        </w:tabs>
        <w:rPr>
          <w:rFonts w:ascii="Tinos" w:hAnsi="Tinos" w:cs="Tinos"/>
          <w:sz w:val="20"/>
          <w:szCs w:val="20"/>
        </w:rPr>
      </w:pPr>
      <w:r>
        <w:rPr>
          <w:rFonts w:ascii="Tinos" w:hAnsi="Tinos" w:cs="Tinos"/>
          <w:sz w:val="20"/>
          <w:szCs w:val="20"/>
        </w:rPr>
      </w:r>
      <w:r>
        <w:rPr>
          <w:rFonts w:ascii="Tinos" w:hAnsi="Tinos" w:cs="Tinos"/>
          <w:sz w:val="20"/>
          <w:szCs w:val="20"/>
        </w:rPr>
      </w:r>
    </w:p>
    <w:p>
      <w:pPr>
        <w:ind w:left="-392" w:firstLine="34"/>
        <w:jc w:val="both"/>
        <w:spacing w:after="0" w:line="17" w:lineRule="atLeast"/>
        <w:widowControl w:val="off"/>
        <w:tabs>
          <w:tab w:val="left" w:pos="-534" w:leader="none"/>
          <w:tab w:val="left" w:pos="1276" w:leader="none"/>
          <w:tab w:val="num" w:pos="1626" w:leader="none"/>
          <w:tab w:val="num" w:pos="1909" w:leader="none"/>
        </w:tabs>
        <w:rPr>
          <w:rFonts w:ascii="Tinos" w:hAnsi="Tinos" w:cs="Tinos"/>
          <w:sz w:val="20"/>
          <w:szCs w:val="20"/>
        </w:rPr>
      </w:pPr>
      <w:r>
        <w:rPr>
          <w:rFonts w:ascii="Tinos" w:hAnsi="Tinos" w:cs="Tinos"/>
          <w:sz w:val="20"/>
          <w:szCs w:val="20"/>
        </w:rPr>
      </w:r>
      <w:r>
        <w:rPr>
          <w:rFonts w:ascii="Tinos" w:hAnsi="Tinos" w:cs="Tinos"/>
          <w:sz w:val="20"/>
          <w:szCs w:val="20"/>
        </w:rPr>
      </w:r>
    </w:p>
    <w:p>
      <w:pPr>
        <w:ind w:left="-392" w:firstLine="34"/>
        <w:jc w:val="both"/>
        <w:spacing w:after="0" w:line="17" w:lineRule="atLeast"/>
        <w:widowControl w:val="off"/>
        <w:tabs>
          <w:tab w:val="left" w:pos="-534" w:leader="none"/>
          <w:tab w:val="left" w:pos="1276" w:leader="none"/>
          <w:tab w:val="num" w:pos="1626" w:leader="none"/>
          <w:tab w:val="num" w:pos="1909" w:leader="none"/>
        </w:tabs>
        <w:rPr>
          <w:rFonts w:ascii="Tinos" w:hAnsi="Tinos" w:cs="Tinos"/>
          <w:sz w:val="20"/>
          <w:szCs w:val="20"/>
        </w:rPr>
      </w:pPr>
      <w:r>
        <w:rPr>
          <w:rFonts w:ascii="Tinos" w:hAnsi="Tinos" w:cs="Tinos"/>
          <w:sz w:val="20"/>
          <w:szCs w:val="20"/>
        </w:rPr>
      </w:r>
      <w:r>
        <w:rPr>
          <w:rFonts w:ascii="Tinos" w:hAnsi="Tinos" w:cs="Tinos"/>
          <w:sz w:val="20"/>
          <w:szCs w:val="20"/>
        </w:rPr>
      </w:r>
    </w:p>
    <w:p>
      <w:pPr>
        <w:ind w:left="-392" w:firstLine="34"/>
        <w:jc w:val="both"/>
        <w:spacing w:after="0" w:line="17" w:lineRule="atLeast"/>
        <w:widowControl w:val="off"/>
        <w:tabs>
          <w:tab w:val="left" w:pos="-534" w:leader="none"/>
          <w:tab w:val="left" w:pos="1276" w:leader="none"/>
          <w:tab w:val="num" w:pos="1626" w:leader="none"/>
          <w:tab w:val="num" w:pos="1909" w:leader="none"/>
        </w:tabs>
        <w:rPr>
          <w:rFonts w:ascii="Tinos" w:hAnsi="Tinos" w:cs="Tinos"/>
          <w:sz w:val="20"/>
          <w:szCs w:val="20"/>
        </w:rPr>
      </w:pPr>
      <w:r>
        <w:rPr>
          <w:rFonts w:ascii="Tinos" w:hAnsi="Tinos" w:cs="Tinos"/>
          <w:sz w:val="20"/>
          <w:szCs w:val="20"/>
        </w:rPr>
      </w:r>
      <w:r>
        <w:rPr>
          <w:rFonts w:ascii="Tinos" w:hAnsi="Tinos" w:cs="Tinos"/>
          <w:sz w:val="20"/>
          <w:szCs w:val="20"/>
        </w:rPr>
      </w:r>
    </w:p>
    <w:p>
      <w:pPr>
        <w:ind w:left="-392" w:firstLine="34"/>
        <w:jc w:val="both"/>
        <w:spacing w:after="0" w:line="17" w:lineRule="atLeast"/>
        <w:widowControl w:val="off"/>
        <w:tabs>
          <w:tab w:val="left" w:pos="-534" w:leader="none"/>
          <w:tab w:val="left" w:pos="1276" w:leader="none"/>
          <w:tab w:val="num" w:pos="1626" w:leader="none"/>
          <w:tab w:val="num" w:pos="1909" w:leader="none"/>
        </w:tabs>
        <w:rPr>
          <w:rFonts w:ascii="Tinos" w:hAnsi="Tinos" w:cs="Tinos"/>
          <w:sz w:val="20"/>
          <w:szCs w:val="20"/>
        </w:rPr>
      </w:pPr>
      <w:r>
        <w:rPr>
          <w:rFonts w:ascii="Tinos" w:hAnsi="Tinos" w:cs="Tinos"/>
          <w:sz w:val="20"/>
          <w:szCs w:val="20"/>
        </w:rPr>
      </w:r>
      <w:r>
        <w:rPr>
          <w:rFonts w:ascii="Tinos" w:hAnsi="Tinos" w:cs="Tinos"/>
          <w:sz w:val="20"/>
          <w:szCs w:val="20"/>
        </w:rPr>
      </w:r>
    </w:p>
    <w:p>
      <w:pPr>
        <w:ind w:left="-392" w:firstLine="34"/>
        <w:jc w:val="both"/>
        <w:spacing w:after="0" w:line="300" w:lineRule="exact"/>
        <w:widowControl w:val="off"/>
        <w:tabs>
          <w:tab w:val="left" w:pos="-534" w:leader="none"/>
          <w:tab w:val="left" w:pos="1276" w:leader="none"/>
          <w:tab w:val="num" w:pos="1626" w:leader="none"/>
          <w:tab w:val="num" w:pos="1909" w:leader="none"/>
        </w:tabs>
      </w:pPr>
      <w:r/>
      <w:r/>
    </w:p>
    <w:p>
      <w:pPr>
        <w:ind w:left="-392" w:firstLine="34"/>
        <w:jc w:val="both"/>
        <w:spacing w:after="0" w:line="300" w:lineRule="exact"/>
        <w:widowControl w:val="off"/>
        <w:tabs>
          <w:tab w:val="left" w:pos="-534" w:leader="none"/>
          <w:tab w:val="left" w:pos="1276" w:leader="none"/>
          <w:tab w:val="num" w:pos="1626" w:leader="none"/>
          <w:tab w:val="num" w:pos="1909" w:leader="none"/>
        </w:tabs>
      </w:pPr>
      <w:r/>
      <w:r/>
    </w:p>
    <w:p>
      <w:pPr>
        <w:ind w:left="-392" w:firstLine="34"/>
        <w:jc w:val="both"/>
        <w:spacing w:after="0" w:line="300" w:lineRule="exact"/>
        <w:widowControl w:val="off"/>
        <w:tabs>
          <w:tab w:val="left" w:pos="-534" w:leader="none"/>
          <w:tab w:val="left" w:pos="1276" w:leader="none"/>
          <w:tab w:val="num" w:pos="1626" w:leader="none"/>
          <w:tab w:val="num" w:pos="1909" w:leader="none"/>
        </w:tabs>
      </w:pPr>
      <w:r/>
      <w:r/>
    </w:p>
    <w:p>
      <w:pPr>
        <w:ind w:firstLine="6237"/>
        <w:spacing w:after="0" w:line="240" w:lineRule="auto"/>
        <w:widowControl w:val="off"/>
        <w:tabs>
          <w:tab w:val="left" w:pos="11250" w:leader="none"/>
        </w:tabs>
        <w:rPr>
          <w:rFonts w:ascii="Times New Roman" w:hAnsi="Times New Roman" w:eastAsia="Calibri" w:cs="Times New Roman"/>
          <w:sz w:val="24"/>
          <w:szCs w:val="24"/>
          <w:lang w:eastAsia="ru-RU"/>
        </w:rPr>
      </w:pPr>
      <w:r>
        <w:rPr>
          <w:rFonts w:ascii="Times New Roman" w:hAnsi="Times New Roman" w:eastAsia="Calibri" w:cs="Times New Roman"/>
          <w:sz w:val="24"/>
          <w:szCs w:val="24"/>
          <w:lang w:eastAsia="ru-RU"/>
        </w:rPr>
      </w:r>
      <w:r>
        <w:rPr>
          <w:rFonts w:ascii="Times New Roman" w:hAnsi="Times New Roman" w:eastAsia="Calibri" w:cs="Times New Roman"/>
          <w:sz w:val="24"/>
          <w:szCs w:val="24"/>
          <w:lang w:eastAsia="ru-RU"/>
        </w:rPr>
      </w:r>
    </w:p>
    <w:p>
      <w:pPr>
        <w:ind w:left="5954" w:firstLine="11"/>
        <w:pageBreakBefore/>
        <w:spacing w:after="0" w:line="17" w:lineRule="atLeast"/>
        <w:widowControl w:val="off"/>
        <w:rPr>
          <w:rFonts w:ascii="Tinos" w:hAnsi="Tinos" w:cs="Tinos"/>
          <w:sz w:val="20"/>
          <w:szCs w:val="20"/>
        </w:rPr>
      </w:pPr>
      <w:r>
        <w:rPr>
          <w:rFonts w:ascii="Tinos" w:hAnsi="Tinos" w:eastAsia="Tinos" w:cs="Tinos"/>
          <w:sz w:val="20"/>
          <w:szCs w:val="20"/>
        </w:rPr>
        <w:t xml:space="preserve">             Приложение № 3 </w:t>
      </w:r>
      <w:r>
        <w:rPr>
          <w:rFonts w:ascii="Tinos" w:hAnsi="Tinos" w:cs="Tinos"/>
          <w:sz w:val="20"/>
          <w:szCs w:val="20"/>
        </w:rPr>
      </w:r>
    </w:p>
    <w:p>
      <w:pPr>
        <w:ind w:left="5954" w:firstLine="12"/>
        <w:spacing w:after="0" w:line="17" w:lineRule="atLeast"/>
        <w:widowControl w:val="off"/>
        <w:rPr>
          <w:rFonts w:ascii="Tinos" w:hAnsi="Tinos" w:cs="Tinos"/>
          <w:sz w:val="20"/>
          <w:szCs w:val="20"/>
        </w:rPr>
      </w:pPr>
      <w:r>
        <w:rPr>
          <w:rFonts w:ascii="Tinos" w:hAnsi="Tinos" w:eastAsia="Tinos" w:cs="Tinos"/>
          <w:sz w:val="20"/>
          <w:szCs w:val="20"/>
        </w:rPr>
        <w:t xml:space="preserve">             к Договору № ________________</w:t>
      </w:r>
      <w:r>
        <w:rPr>
          <w:rFonts w:ascii="Tinos" w:hAnsi="Tinos" w:cs="Tinos"/>
          <w:sz w:val="20"/>
          <w:szCs w:val="20"/>
        </w:rPr>
      </w:r>
    </w:p>
    <w:p>
      <w:pPr>
        <w:ind w:left="5954" w:firstLine="34"/>
        <w:jc w:val="both"/>
        <w:spacing w:after="0" w:line="17" w:lineRule="atLeast"/>
        <w:widowControl w:val="off"/>
        <w:tabs>
          <w:tab w:val="left" w:pos="-534" w:leader="none"/>
          <w:tab w:val="left" w:pos="1276" w:leader="none"/>
          <w:tab w:val="num" w:pos="1626" w:leader="none"/>
          <w:tab w:val="num" w:pos="1909" w:leader="none"/>
        </w:tabs>
        <w:rPr>
          <w:rFonts w:ascii="Tinos" w:hAnsi="Tinos" w:cs="Tinos"/>
          <w:sz w:val="20"/>
          <w:szCs w:val="20"/>
        </w:rPr>
      </w:pPr>
      <w:r>
        <w:rPr>
          <w:rFonts w:ascii="Tinos" w:hAnsi="Tinos" w:eastAsia="Tinos" w:cs="Tinos"/>
          <w:sz w:val="20"/>
          <w:szCs w:val="20"/>
        </w:rPr>
        <w:t xml:space="preserve">             от «___» ________ 20__ г. </w:t>
      </w:r>
      <w:r>
        <w:rPr>
          <w:rFonts w:ascii="Tinos" w:hAnsi="Tinos" w:cs="Tinos"/>
          <w:sz w:val="20"/>
          <w:szCs w:val="20"/>
        </w:rPr>
      </w:r>
    </w:p>
    <w:p>
      <w:pPr>
        <w:ind w:left="60"/>
        <w:jc w:val="center"/>
        <w:keepLines/>
        <w:spacing w:after="0" w:line="17" w:lineRule="atLeast"/>
        <w:rPr>
          <w:rFonts w:ascii="Tinos" w:hAnsi="Tinos" w:cs="Tinos"/>
          <w:b/>
          <w:caps/>
          <w:sz w:val="20"/>
          <w:szCs w:val="20"/>
        </w:rPr>
      </w:pPr>
      <w:r>
        <w:rPr>
          <w:rFonts w:ascii="Tinos" w:hAnsi="Tinos" w:cs="Tinos"/>
          <w:b/>
          <w:caps/>
          <w:sz w:val="20"/>
          <w:szCs w:val="20"/>
        </w:rPr>
      </w:r>
      <w:r>
        <w:rPr>
          <w:rFonts w:ascii="Tinos" w:hAnsi="Tinos" w:cs="Tinos"/>
          <w:b/>
          <w:caps/>
          <w:sz w:val="20"/>
          <w:szCs w:val="20"/>
        </w:rPr>
      </w:r>
    </w:p>
    <w:p>
      <w:pPr>
        <w:ind w:left="60"/>
        <w:jc w:val="center"/>
        <w:keepLines/>
        <w:spacing w:after="0" w:line="17" w:lineRule="atLeast"/>
        <w:rPr>
          <w:rFonts w:ascii="Tinos" w:hAnsi="Tinos" w:cs="Tinos"/>
          <w:b/>
          <w:caps/>
          <w:sz w:val="20"/>
          <w:szCs w:val="20"/>
        </w:rPr>
      </w:pPr>
      <w:r>
        <w:rPr>
          <w:rFonts w:ascii="Tinos" w:hAnsi="Tinos" w:cs="Tinos"/>
          <w:b/>
          <w:caps/>
          <w:sz w:val="20"/>
          <w:szCs w:val="20"/>
        </w:rPr>
      </w:r>
      <w:r>
        <w:rPr>
          <w:rFonts w:ascii="Tinos" w:hAnsi="Tinos" w:cs="Tinos"/>
          <w:b/>
          <w:caps/>
          <w:sz w:val="20"/>
          <w:szCs w:val="20"/>
        </w:rPr>
      </w:r>
    </w:p>
    <w:p>
      <w:pPr>
        <w:ind w:left="60"/>
        <w:jc w:val="center"/>
        <w:keepLines/>
        <w:spacing w:after="0" w:line="17" w:lineRule="atLeast"/>
        <w:rPr>
          <w:rFonts w:ascii="Tinos" w:hAnsi="Tinos" w:cs="Tinos"/>
          <w:b/>
          <w:caps/>
          <w:sz w:val="20"/>
          <w:szCs w:val="20"/>
        </w:rPr>
      </w:pPr>
      <w:r>
        <w:rPr>
          <w:rFonts w:ascii="Tinos" w:hAnsi="Tinos" w:eastAsia="Tinos" w:cs="Tinos"/>
          <w:b/>
          <w:caps/>
          <w:sz w:val="20"/>
          <w:szCs w:val="20"/>
        </w:rPr>
        <w:t xml:space="preserve">Информация о собственниках контрагента (включая конечных бенефициаров)</w:t>
      </w:r>
      <w:r>
        <w:rPr>
          <w:rFonts w:ascii="Tinos" w:hAnsi="Tinos" w:cs="Tinos"/>
          <w:b/>
          <w:caps/>
          <w:sz w:val="20"/>
          <w:szCs w:val="20"/>
        </w:rPr>
      </w:r>
    </w:p>
    <w:p>
      <w:pPr>
        <w:ind w:left="60"/>
        <w:jc w:val="center"/>
        <w:keepLines/>
        <w:spacing w:after="0" w:line="17" w:lineRule="atLeast"/>
        <w:rPr>
          <w:rFonts w:ascii="Tinos" w:hAnsi="Tinos" w:cs="Tinos"/>
          <w:b/>
          <w:caps/>
          <w:sz w:val="20"/>
          <w:szCs w:val="20"/>
        </w:rPr>
      </w:pPr>
      <w:r>
        <w:rPr>
          <w:rFonts w:ascii="Tinos" w:hAnsi="Tinos" w:eastAsia="Tinos" w:cs="Tinos"/>
          <w:b/>
          <w:caps/>
          <w:sz w:val="20"/>
          <w:szCs w:val="20"/>
        </w:rPr>
        <w:t xml:space="preserve">(ФОРМА ДОКУМЕНТА)</w:t>
      </w:r>
      <w:r>
        <w:rPr>
          <w:rFonts w:ascii="Tinos" w:hAnsi="Tinos" w:cs="Tinos"/>
          <w:b/>
          <w:caps/>
          <w:sz w:val="20"/>
          <w:szCs w:val="20"/>
        </w:rPr>
      </w:r>
    </w:p>
    <w:tbl>
      <w:tblPr>
        <w:tblW w:w="1006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534"/>
        <w:gridCol w:w="850"/>
        <w:gridCol w:w="851"/>
        <w:gridCol w:w="1842"/>
        <w:gridCol w:w="1418"/>
        <w:gridCol w:w="1417"/>
        <w:gridCol w:w="1560"/>
        <w:gridCol w:w="1591"/>
      </w:tblGrid>
      <w:tr>
        <w:tblPrEx/>
        <w:trPr>
          <w:trHeight w:val="278"/>
        </w:trPr>
        <w:tc>
          <w:tcPr>
            <w:gridSpan w:val="8"/>
            <w:shd w:val="pct15" w:color="auto" w:fill="auto"/>
            <w:tcBorders>
              <w:top w:val="single" w:color="auto" w:sz="4" w:space="0"/>
              <w:left w:val="single" w:color="auto" w:sz="4" w:space="0"/>
              <w:bottom w:val="single" w:color="auto" w:sz="4" w:space="0"/>
              <w:right w:val="single" w:color="auto" w:sz="4" w:space="0"/>
            </w:tcBorders>
            <w:tcW w:w="10063" w:type="dxa"/>
            <w:vAlign w:val="center"/>
            <w:textDirection w:val="lrTb"/>
            <w:noWrap w:val="false"/>
          </w:tcPr>
          <w:p>
            <w:pPr>
              <w:ind w:left="60"/>
              <w:jc w:val="center"/>
              <w:spacing w:after="0" w:line="17" w:lineRule="atLeast"/>
              <w:widowControl w:val="off"/>
              <w:rPr>
                <w:rFonts w:ascii="Tinos" w:hAnsi="Tinos" w:cs="Tinos"/>
                <w:b/>
                <w:bCs/>
                <w:sz w:val="20"/>
                <w:szCs w:val="20"/>
              </w:rPr>
            </w:pPr>
            <w:r>
              <w:rPr>
                <w:rFonts w:ascii="Tinos" w:hAnsi="Tinos" w:eastAsia="Tinos" w:cs="Tinos"/>
                <w:b/>
                <w:bCs/>
                <w:sz w:val="20"/>
                <w:szCs w:val="20"/>
              </w:rPr>
              <w:t xml:space="preserve">Информация о цепочке собственников, включая бенефициаров</w:t>
            </w:r>
            <w:r>
              <w:rPr>
                <w:rFonts w:ascii="Tinos" w:hAnsi="Tinos" w:cs="Tinos"/>
                <w:b/>
                <w:bCs/>
                <w:sz w:val="20"/>
                <w:szCs w:val="20"/>
              </w:rPr>
            </w:r>
          </w:p>
          <w:p>
            <w:pPr>
              <w:ind w:left="60"/>
              <w:jc w:val="center"/>
              <w:spacing w:after="0" w:line="17" w:lineRule="atLeast"/>
              <w:widowControl w:val="off"/>
              <w:rPr>
                <w:rFonts w:ascii="Tinos" w:hAnsi="Tinos" w:cs="Tinos"/>
                <w:b/>
                <w:bCs/>
                <w:sz w:val="20"/>
                <w:szCs w:val="20"/>
              </w:rPr>
            </w:pPr>
            <w:r>
              <w:rPr>
                <w:rFonts w:ascii="Tinos" w:hAnsi="Tinos" w:eastAsia="Tinos" w:cs="Tinos"/>
                <w:b/>
                <w:bCs/>
                <w:sz w:val="20"/>
                <w:szCs w:val="20"/>
              </w:rPr>
              <w:t xml:space="preserve">(в том числе конечных)</w:t>
            </w:r>
            <w:r>
              <w:rPr>
                <w:rFonts w:ascii="Tinos" w:hAnsi="Tinos" w:cs="Tinos"/>
                <w:b/>
                <w:bCs/>
                <w:sz w:val="20"/>
                <w:szCs w:val="20"/>
              </w:rPr>
            </w:r>
          </w:p>
        </w:tc>
      </w:tr>
      <w:tr>
        <w:tblPrEx/>
        <w:trPr>
          <w:trHeight w:val="250"/>
        </w:trPr>
        <w:tc>
          <w:tcPr>
            <w:shd w:val="pct15" w:color="auto" w:fill="auto"/>
            <w:tcBorders>
              <w:top w:val="single" w:color="auto" w:sz="4" w:space="0"/>
              <w:left w:val="single" w:color="auto" w:sz="4" w:space="0"/>
              <w:bottom w:val="single" w:color="auto" w:sz="4" w:space="0"/>
              <w:right w:val="single" w:color="auto" w:sz="4" w:space="0"/>
            </w:tcBorders>
            <w:tcW w:w="534" w:type="dxa"/>
            <w:vAlign w:val="center"/>
            <w:textDirection w:val="lrTb"/>
            <w:noWrap w:val="false"/>
          </w:tcPr>
          <w:p>
            <w:pPr>
              <w:ind w:left="60"/>
              <w:jc w:val="center"/>
              <w:spacing w:after="0" w:line="17" w:lineRule="atLeast"/>
              <w:widowControl w:val="off"/>
              <w:rPr>
                <w:rFonts w:ascii="Tinos" w:hAnsi="Tinos" w:cs="Tinos"/>
                <w:b/>
                <w:bCs/>
                <w:sz w:val="20"/>
                <w:szCs w:val="20"/>
              </w:rPr>
            </w:pPr>
            <w:r>
              <w:rPr>
                <w:rFonts w:ascii="Tinos" w:hAnsi="Tinos" w:eastAsia="Tinos" w:cs="Tinos"/>
                <w:b/>
                <w:bCs/>
                <w:sz w:val="20"/>
                <w:szCs w:val="20"/>
              </w:rPr>
              <w:t xml:space="preserve">№</w:t>
            </w:r>
            <w:r>
              <w:rPr>
                <w:rFonts w:ascii="Tinos" w:hAnsi="Tinos" w:cs="Tinos"/>
                <w:b/>
                <w:bCs/>
                <w:sz w:val="20"/>
                <w:szCs w:val="20"/>
              </w:rPr>
            </w:r>
          </w:p>
        </w:tc>
        <w:tc>
          <w:tcPr>
            <w:shd w:val="pct15" w:color="auto" w:fill="auto"/>
            <w:tcBorders>
              <w:top w:val="single" w:color="auto" w:sz="4" w:space="0"/>
              <w:left w:val="single" w:color="auto" w:sz="4" w:space="0"/>
              <w:bottom w:val="single" w:color="auto" w:sz="4" w:space="0"/>
              <w:right w:val="single" w:color="auto" w:sz="4" w:space="0"/>
            </w:tcBorders>
            <w:tcW w:w="850" w:type="dxa"/>
            <w:vAlign w:val="center"/>
            <w:textDirection w:val="lrTb"/>
            <w:noWrap w:val="false"/>
          </w:tcPr>
          <w:p>
            <w:pPr>
              <w:ind w:left="60"/>
              <w:jc w:val="center"/>
              <w:spacing w:after="0" w:line="17" w:lineRule="atLeast"/>
              <w:widowControl w:val="off"/>
              <w:rPr>
                <w:rFonts w:ascii="Tinos" w:hAnsi="Tinos" w:cs="Tinos"/>
                <w:b/>
                <w:bCs/>
                <w:sz w:val="20"/>
                <w:szCs w:val="20"/>
              </w:rPr>
            </w:pPr>
            <w:r>
              <w:rPr>
                <w:rFonts w:ascii="Tinos" w:hAnsi="Tinos" w:eastAsia="Tinos" w:cs="Tinos"/>
                <w:b/>
                <w:bCs/>
                <w:sz w:val="20"/>
                <w:szCs w:val="20"/>
              </w:rPr>
              <w:t xml:space="preserve">ИНН</w:t>
            </w:r>
            <w:r>
              <w:rPr>
                <w:rFonts w:ascii="Tinos" w:hAnsi="Tinos" w:cs="Tinos"/>
                <w:b/>
                <w:bCs/>
                <w:sz w:val="20"/>
                <w:szCs w:val="20"/>
              </w:rPr>
            </w:r>
          </w:p>
        </w:tc>
        <w:tc>
          <w:tcPr>
            <w:shd w:val="pct15" w:color="auto" w:fill="auto"/>
            <w:tcBorders>
              <w:top w:val="single" w:color="auto" w:sz="4" w:space="0"/>
              <w:left w:val="single" w:color="auto" w:sz="4" w:space="0"/>
              <w:bottom w:val="single" w:color="auto" w:sz="4" w:space="0"/>
              <w:right w:val="single" w:color="auto" w:sz="4" w:space="0"/>
            </w:tcBorders>
            <w:tcW w:w="851" w:type="dxa"/>
            <w:vAlign w:val="center"/>
            <w:textDirection w:val="lrTb"/>
            <w:noWrap w:val="false"/>
          </w:tcPr>
          <w:p>
            <w:pPr>
              <w:ind w:left="60"/>
              <w:jc w:val="center"/>
              <w:spacing w:after="0" w:line="17" w:lineRule="atLeast"/>
              <w:widowControl w:val="off"/>
              <w:rPr>
                <w:rFonts w:ascii="Tinos" w:hAnsi="Tinos" w:cs="Tinos"/>
                <w:b/>
                <w:bCs/>
                <w:sz w:val="20"/>
                <w:szCs w:val="20"/>
              </w:rPr>
            </w:pPr>
            <w:r>
              <w:rPr>
                <w:rFonts w:ascii="Tinos" w:hAnsi="Tinos" w:eastAsia="Tinos" w:cs="Tinos"/>
                <w:b/>
                <w:bCs/>
                <w:sz w:val="20"/>
                <w:szCs w:val="20"/>
              </w:rPr>
              <w:t xml:space="preserve">ОГРН</w:t>
            </w:r>
            <w:r>
              <w:rPr>
                <w:rFonts w:ascii="Tinos" w:hAnsi="Tinos" w:cs="Tinos"/>
                <w:b/>
                <w:bCs/>
                <w:sz w:val="20"/>
                <w:szCs w:val="20"/>
              </w:rPr>
            </w:r>
          </w:p>
        </w:tc>
        <w:tc>
          <w:tcPr>
            <w:shd w:val="pct15" w:color="auto" w:fill="auto"/>
            <w:tcBorders>
              <w:top w:val="single" w:color="auto" w:sz="4" w:space="0"/>
              <w:left w:val="single" w:color="auto" w:sz="4" w:space="0"/>
              <w:bottom w:val="single" w:color="auto" w:sz="4" w:space="0"/>
              <w:right w:val="single" w:color="auto" w:sz="4" w:space="0"/>
            </w:tcBorders>
            <w:tcW w:w="1842" w:type="dxa"/>
            <w:vAlign w:val="center"/>
            <w:textDirection w:val="lrTb"/>
            <w:noWrap w:val="false"/>
          </w:tcPr>
          <w:p>
            <w:pPr>
              <w:ind w:left="60"/>
              <w:jc w:val="center"/>
              <w:spacing w:after="0" w:line="17" w:lineRule="atLeast"/>
              <w:widowControl w:val="off"/>
              <w:rPr>
                <w:rFonts w:ascii="Tinos" w:hAnsi="Tinos" w:cs="Tinos"/>
                <w:b/>
                <w:bCs/>
                <w:sz w:val="20"/>
                <w:szCs w:val="20"/>
              </w:rPr>
            </w:pPr>
            <w:r>
              <w:rPr>
                <w:rFonts w:ascii="Tinos" w:hAnsi="Tinos" w:eastAsia="Tinos" w:cs="Tinos"/>
                <w:b/>
                <w:bCs/>
                <w:sz w:val="20"/>
                <w:szCs w:val="20"/>
              </w:rPr>
              <w:t xml:space="preserve">Наименование / ФИО</w:t>
            </w:r>
            <w:r>
              <w:rPr>
                <w:rFonts w:ascii="Tinos" w:hAnsi="Tinos" w:cs="Tinos"/>
                <w:b/>
                <w:bCs/>
                <w:sz w:val="20"/>
                <w:szCs w:val="20"/>
              </w:rPr>
            </w:r>
          </w:p>
        </w:tc>
        <w:tc>
          <w:tcPr>
            <w:shd w:val="pct15" w:color="auto" w:fill="auto"/>
            <w:tcBorders>
              <w:top w:val="single" w:color="auto" w:sz="4" w:space="0"/>
              <w:left w:val="single" w:color="auto" w:sz="4" w:space="0"/>
              <w:bottom w:val="single" w:color="auto" w:sz="4" w:space="0"/>
              <w:right w:val="single" w:color="auto" w:sz="4" w:space="0"/>
            </w:tcBorders>
            <w:tcW w:w="1418" w:type="dxa"/>
            <w:vAlign w:val="center"/>
            <w:textDirection w:val="lrTb"/>
            <w:noWrap w:val="false"/>
          </w:tcPr>
          <w:p>
            <w:pPr>
              <w:ind w:left="60"/>
              <w:jc w:val="center"/>
              <w:spacing w:after="0" w:line="17" w:lineRule="atLeast"/>
              <w:widowControl w:val="off"/>
              <w:rPr>
                <w:rFonts w:ascii="Tinos" w:hAnsi="Tinos" w:cs="Tinos"/>
                <w:b/>
                <w:bCs/>
                <w:sz w:val="20"/>
                <w:szCs w:val="20"/>
              </w:rPr>
            </w:pPr>
            <w:r>
              <w:rPr>
                <w:rFonts w:ascii="Tinos" w:hAnsi="Tinos" w:eastAsia="Tinos" w:cs="Tinos"/>
                <w:b/>
                <w:bCs/>
                <w:sz w:val="20"/>
                <w:szCs w:val="20"/>
              </w:rPr>
              <w:t xml:space="preserve">Адрес регистрации</w:t>
            </w:r>
            <w:r>
              <w:rPr>
                <w:rFonts w:ascii="Tinos" w:hAnsi="Tinos" w:cs="Tinos"/>
                <w:b/>
                <w:bCs/>
                <w:sz w:val="20"/>
                <w:szCs w:val="20"/>
              </w:rPr>
            </w:r>
          </w:p>
        </w:tc>
        <w:tc>
          <w:tcPr>
            <w:shd w:val="pct15" w:color="auto" w:fill="auto"/>
            <w:tcBorders>
              <w:top w:val="single" w:color="auto" w:sz="4" w:space="0"/>
              <w:left w:val="single" w:color="auto" w:sz="4" w:space="0"/>
              <w:bottom w:val="single" w:color="auto" w:sz="4" w:space="0"/>
              <w:right w:val="single" w:color="auto" w:sz="4" w:space="0"/>
            </w:tcBorders>
            <w:tcW w:w="1417" w:type="dxa"/>
            <w:vAlign w:val="center"/>
            <w:textDirection w:val="lrTb"/>
            <w:noWrap w:val="false"/>
          </w:tcPr>
          <w:p>
            <w:pPr>
              <w:ind w:left="60"/>
              <w:jc w:val="center"/>
              <w:spacing w:after="0" w:line="17" w:lineRule="atLeast"/>
              <w:widowControl w:val="off"/>
              <w:rPr>
                <w:rFonts w:ascii="Tinos" w:hAnsi="Tinos" w:cs="Tinos"/>
                <w:b/>
                <w:bCs/>
                <w:sz w:val="20"/>
                <w:szCs w:val="20"/>
              </w:rPr>
            </w:pPr>
            <w:r>
              <w:rPr>
                <w:rFonts w:ascii="Tinos" w:hAnsi="Tinos" w:eastAsia="Tinos" w:cs="Tinos"/>
                <w:b/>
                <w:bCs/>
                <w:sz w:val="20"/>
                <w:szCs w:val="20"/>
              </w:rPr>
              <w:t xml:space="preserve">Серия и номер документа, удостоверяющего личность (для физ. лиц)</w:t>
            </w:r>
            <w:r>
              <w:rPr>
                <w:rFonts w:ascii="Tinos" w:hAnsi="Tinos" w:cs="Tinos"/>
                <w:b/>
                <w:bCs/>
                <w:sz w:val="20"/>
                <w:szCs w:val="20"/>
              </w:rPr>
            </w:r>
          </w:p>
        </w:tc>
        <w:tc>
          <w:tcPr>
            <w:shd w:val="pct15" w:color="auto" w:fill="auto"/>
            <w:tcBorders>
              <w:top w:val="single" w:color="auto" w:sz="4" w:space="0"/>
              <w:left w:val="single" w:color="auto" w:sz="4" w:space="0"/>
              <w:bottom w:val="single" w:color="auto" w:sz="4" w:space="0"/>
              <w:right w:val="single" w:color="auto" w:sz="4" w:space="0"/>
            </w:tcBorders>
            <w:tcW w:w="1560" w:type="dxa"/>
            <w:vAlign w:val="center"/>
            <w:textDirection w:val="lrTb"/>
            <w:noWrap w:val="false"/>
          </w:tcPr>
          <w:p>
            <w:pPr>
              <w:ind w:left="60"/>
              <w:jc w:val="center"/>
              <w:spacing w:after="0" w:line="17" w:lineRule="atLeast"/>
              <w:widowControl w:val="off"/>
              <w:rPr>
                <w:rFonts w:ascii="Tinos" w:hAnsi="Tinos" w:cs="Tinos"/>
                <w:b/>
                <w:bCs/>
                <w:sz w:val="20"/>
                <w:szCs w:val="20"/>
              </w:rPr>
            </w:pPr>
            <w:r>
              <w:rPr>
                <w:rFonts w:ascii="Tinos" w:hAnsi="Tinos" w:eastAsia="Tinos" w:cs="Tinos"/>
                <w:b/>
                <w:bCs/>
                <w:sz w:val="20"/>
                <w:szCs w:val="20"/>
              </w:rPr>
              <w:t xml:space="preserve">Руководитель/участник/акционер/бенефициар</w:t>
            </w:r>
            <w:r>
              <w:rPr>
                <w:rFonts w:ascii="Tinos" w:hAnsi="Tinos" w:cs="Tinos"/>
                <w:b/>
                <w:bCs/>
                <w:sz w:val="20"/>
                <w:szCs w:val="20"/>
              </w:rPr>
            </w:r>
          </w:p>
        </w:tc>
        <w:tc>
          <w:tcPr>
            <w:shd w:val="pct15" w:color="auto" w:fill="auto"/>
            <w:tcBorders>
              <w:top w:val="single" w:color="auto" w:sz="4" w:space="0"/>
              <w:left w:val="single" w:color="auto" w:sz="4" w:space="0"/>
              <w:bottom w:val="single" w:color="auto" w:sz="4" w:space="0"/>
              <w:right w:val="single" w:color="auto" w:sz="4" w:space="0"/>
            </w:tcBorders>
            <w:tcW w:w="1591" w:type="dxa"/>
            <w:vAlign w:val="center"/>
            <w:textDirection w:val="lrTb"/>
            <w:noWrap w:val="false"/>
          </w:tcPr>
          <w:p>
            <w:pPr>
              <w:ind w:left="60"/>
              <w:jc w:val="center"/>
              <w:spacing w:after="0" w:line="17" w:lineRule="atLeast"/>
              <w:widowControl w:val="off"/>
              <w:rPr>
                <w:rFonts w:ascii="Tinos" w:hAnsi="Tinos" w:cs="Tinos"/>
                <w:b/>
                <w:bCs/>
                <w:sz w:val="20"/>
                <w:szCs w:val="20"/>
              </w:rPr>
            </w:pPr>
            <w:r>
              <w:rPr>
                <w:rFonts w:ascii="Tinos" w:hAnsi="Tinos" w:eastAsia="Tinos" w:cs="Tinos"/>
                <w:b/>
                <w:bCs/>
                <w:sz w:val="20"/>
                <w:szCs w:val="20"/>
              </w:rPr>
              <w:t xml:space="preserve">Информация о подтверждающих документах (наименование, реквизиты и т.д.)</w:t>
            </w:r>
            <w:r>
              <w:rPr>
                <w:rFonts w:ascii="Tinos" w:hAnsi="Tinos" w:cs="Tinos"/>
                <w:b/>
                <w:bCs/>
                <w:sz w:val="20"/>
                <w:szCs w:val="20"/>
              </w:rPr>
            </w:r>
          </w:p>
        </w:tc>
      </w:tr>
      <w:tr>
        <w:tblPrEx/>
        <w:trPr>
          <w:trHeight w:val="209"/>
        </w:trPr>
        <w:tc>
          <w:tcPr>
            <w:shd w:val="pct15" w:color="auto" w:fill="auto"/>
            <w:tcBorders>
              <w:top w:val="single" w:color="auto" w:sz="4" w:space="0"/>
              <w:left w:val="single" w:color="auto" w:sz="4" w:space="0"/>
              <w:bottom w:val="single" w:color="auto" w:sz="4" w:space="0"/>
              <w:right w:val="single" w:color="auto" w:sz="4" w:space="0"/>
            </w:tcBorders>
            <w:tcW w:w="534" w:type="dxa"/>
            <w:vAlign w:val="center"/>
            <w:textDirection w:val="lrTb"/>
            <w:noWrap w:val="false"/>
          </w:tcPr>
          <w:p>
            <w:pPr>
              <w:ind w:left="60"/>
              <w:jc w:val="center"/>
              <w:spacing w:after="0" w:line="17" w:lineRule="atLeast"/>
              <w:widowControl w:val="off"/>
              <w:rPr>
                <w:rFonts w:ascii="Tinos" w:hAnsi="Tinos" w:cs="Tinos"/>
                <w:sz w:val="20"/>
                <w:szCs w:val="20"/>
              </w:rPr>
            </w:pPr>
            <w:r>
              <w:rPr>
                <w:rFonts w:ascii="Tinos" w:hAnsi="Tinos" w:eastAsia="Tinos" w:cs="Tinos"/>
                <w:sz w:val="20"/>
                <w:szCs w:val="20"/>
              </w:rPr>
              <w:t xml:space="preserve">1</w:t>
            </w:r>
            <w:r>
              <w:rPr>
                <w:rFonts w:ascii="Tinos" w:hAnsi="Tinos" w:cs="Tinos"/>
                <w:sz w:val="20"/>
                <w:szCs w:val="20"/>
              </w:rPr>
            </w:r>
          </w:p>
        </w:tc>
        <w:tc>
          <w:tcPr>
            <w:shd w:val="pct15" w:color="auto" w:fill="auto"/>
            <w:tcBorders>
              <w:top w:val="single" w:color="auto" w:sz="4" w:space="0"/>
              <w:left w:val="single" w:color="auto" w:sz="4" w:space="0"/>
              <w:bottom w:val="single" w:color="auto" w:sz="4" w:space="0"/>
              <w:right w:val="single" w:color="auto" w:sz="4" w:space="0"/>
            </w:tcBorders>
            <w:tcW w:w="850" w:type="dxa"/>
            <w:vAlign w:val="center"/>
            <w:textDirection w:val="lrTb"/>
            <w:noWrap w:val="false"/>
          </w:tcPr>
          <w:p>
            <w:pPr>
              <w:ind w:left="60"/>
              <w:jc w:val="center"/>
              <w:spacing w:after="0" w:line="17" w:lineRule="atLeast"/>
              <w:widowControl w:val="off"/>
              <w:rPr>
                <w:rFonts w:ascii="Tinos" w:hAnsi="Tinos" w:cs="Tinos"/>
                <w:sz w:val="20"/>
                <w:szCs w:val="20"/>
              </w:rPr>
            </w:pPr>
            <w:r>
              <w:rPr>
                <w:rFonts w:ascii="Tinos" w:hAnsi="Tinos" w:eastAsia="Tinos" w:cs="Tinos"/>
                <w:sz w:val="20"/>
                <w:szCs w:val="20"/>
              </w:rPr>
              <w:t xml:space="preserve">2</w:t>
            </w:r>
            <w:r>
              <w:rPr>
                <w:rFonts w:ascii="Tinos" w:hAnsi="Tinos" w:cs="Tinos"/>
                <w:sz w:val="20"/>
                <w:szCs w:val="20"/>
              </w:rPr>
            </w:r>
          </w:p>
        </w:tc>
        <w:tc>
          <w:tcPr>
            <w:shd w:val="pct15" w:color="auto" w:fill="auto"/>
            <w:tcBorders>
              <w:top w:val="single" w:color="auto" w:sz="4" w:space="0"/>
              <w:left w:val="single" w:color="auto" w:sz="4" w:space="0"/>
              <w:bottom w:val="single" w:color="auto" w:sz="4" w:space="0"/>
              <w:right w:val="single" w:color="auto" w:sz="4" w:space="0"/>
            </w:tcBorders>
            <w:tcW w:w="851" w:type="dxa"/>
            <w:vAlign w:val="center"/>
            <w:textDirection w:val="lrTb"/>
            <w:noWrap w:val="false"/>
          </w:tcPr>
          <w:p>
            <w:pPr>
              <w:ind w:left="60"/>
              <w:jc w:val="center"/>
              <w:spacing w:after="0" w:line="17" w:lineRule="atLeast"/>
              <w:widowControl w:val="off"/>
              <w:rPr>
                <w:rFonts w:ascii="Tinos" w:hAnsi="Tinos" w:cs="Tinos"/>
                <w:sz w:val="20"/>
                <w:szCs w:val="20"/>
              </w:rPr>
            </w:pPr>
            <w:r>
              <w:rPr>
                <w:rFonts w:ascii="Tinos" w:hAnsi="Tinos" w:eastAsia="Tinos" w:cs="Tinos"/>
                <w:sz w:val="20"/>
                <w:szCs w:val="20"/>
              </w:rPr>
              <w:t xml:space="preserve">3</w:t>
            </w:r>
            <w:r>
              <w:rPr>
                <w:rFonts w:ascii="Tinos" w:hAnsi="Tinos" w:cs="Tinos"/>
                <w:sz w:val="20"/>
                <w:szCs w:val="20"/>
              </w:rPr>
            </w:r>
          </w:p>
        </w:tc>
        <w:tc>
          <w:tcPr>
            <w:shd w:val="pct15" w:color="auto" w:fill="auto"/>
            <w:tcBorders>
              <w:top w:val="single" w:color="auto" w:sz="4" w:space="0"/>
              <w:left w:val="single" w:color="auto" w:sz="4" w:space="0"/>
              <w:bottom w:val="single" w:color="auto" w:sz="4" w:space="0"/>
              <w:right w:val="single" w:color="auto" w:sz="4" w:space="0"/>
            </w:tcBorders>
            <w:tcW w:w="1842" w:type="dxa"/>
            <w:vAlign w:val="center"/>
            <w:textDirection w:val="lrTb"/>
            <w:noWrap w:val="false"/>
          </w:tcPr>
          <w:p>
            <w:pPr>
              <w:ind w:left="60"/>
              <w:jc w:val="center"/>
              <w:spacing w:after="0" w:line="17" w:lineRule="atLeast"/>
              <w:widowControl w:val="off"/>
              <w:rPr>
                <w:rFonts w:ascii="Tinos" w:hAnsi="Tinos" w:cs="Tinos"/>
                <w:sz w:val="20"/>
                <w:szCs w:val="20"/>
              </w:rPr>
            </w:pPr>
            <w:r>
              <w:rPr>
                <w:rFonts w:ascii="Tinos" w:hAnsi="Tinos" w:eastAsia="Tinos" w:cs="Tinos"/>
                <w:sz w:val="20"/>
                <w:szCs w:val="20"/>
              </w:rPr>
              <w:t xml:space="preserve">4</w:t>
            </w:r>
            <w:r>
              <w:rPr>
                <w:rFonts w:ascii="Tinos" w:hAnsi="Tinos" w:cs="Tinos"/>
                <w:sz w:val="20"/>
                <w:szCs w:val="20"/>
              </w:rPr>
            </w:r>
          </w:p>
        </w:tc>
        <w:tc>
          <w:tcPr>
            <w:shd w:val="pct15" w:color="auto" w:fill="auto"/>
            <w:tcBorders>
              <w:top w:val="single" w:color="auto" w:sz="4" w:space="0"/>
              <w:left w:val="single" w:color="auto" w:sz="4" w:space="0"/>
              <w:bottom w:val="single" w:color="auto" w:sz="4" w:space="0"/>
              <w:right w:val="single" w:color="auto" w:sz="4" w:space="0"/>
            </w:tcBorders>
            <w:tcW w:w="1418" w:type="dxa"/>
            <w:vAlign w:val="center"/>
            <w:textDirection w:val="lrTb"/>
            <w:noWrap w:val="false"/>
          </w:tcPr>
          <w:p>
            <w:pPr>
              <w:ind w:left="60"/>
              <w:jc w:val="center"/>
              <w:spacing w:after="0" w:line="17" w:lineRule="atLeast"/>
              <w:widowControl w:val="off"/>
              <w:rPr>
                <w:rFonts w:ascii="Tinos" w:hAnsi="Tinos" w:cs="Tinos"/>
                <w:sz w:val="20"/>
                <w:szCs w:val="20"/>
              </w:rPr>
            </w:pPr>
            <w:r>
              <w:rPr>
                <w:rFonts w:ascii="Tinos" w:hAnsi="Tinos" w:eastAsia="Tinos" w:cs="Tinos"/>
                <w:sz w:val="20"/>
                <w:szCs w:val="20"/>
              </w:rPr>
              <w:t xml:space="preserve">5</w:t>
            </w:r>
            <w:r>
              <w:rPr>
                <w:rFonts w:ascii="Tinos" w:hAnsi="Tinos" w:cs="Tinos"/>
                <w:sz w:val="20"/>
                <w:szCs w:val="20"/>
              </w:rPr>
            </w:r>
          </w:p>
        </w:tc>
        <w:tc>
          <w:tcPr>
            <w:shd w:val="pct15" w:color="auto" w:fill="auto"/>
            <w:tcBorders>
              <w:top w:val="single" w:color="auto" w:sz="4" w:space="0"/>
              <w:left w:val="single" w:color="auto" w:sz="4" w:space="0"/>
              <w:bottom w:val="single" w:color="auto" w:sz="4" w:space="0"/>
              <w:right w:val="single" w:color="auto" w:sz="4" w:space="0"/>
            </w:tcBorders>
            <w:tcW w:w="1417" w:type="dxa"/>
            <w:vAlign w:val="bottom"/>
            <w:textDirection w:val="lrTb"/>
            <w:noWrap w:val="false"/>
          </w:tcPr>
          <w:p>
            <w:pPr>
              <w:ind w:left="60"/>
              <w:jc w:val="center"/>
              <w:spacing w:after="0" w:line="17" w:lineRule="atLeast"/>
              <w:widowControl w:val="off"/>
              <w:rPr>
                <w:rFonts w:ascii="Tinos" w:hAnsi="Tinos" w:cs="Tinos"/>
                <w:sz w:val="20"/>
                <w:szCs w:val="20"/>
              </w:rPr>
            </w:pPr>
            <w:r>
              <w:rPr>
                <w:rFonts w:ascii="Tinos" w:hAnsi="Tinos" w:eastAsia="Tinos" w:cs="Tinos"/>
                <w:sz w:val="20"/>
                <w:szCs w:val="20"/>
              </w:rPr>
              <w:t xml:space="preserve">6</w:t>
            </w:r>
            <w:r>
              <w:rPr>
                <w:rFonts w:ascii="Tinos" w:hAnsi="Tinos" w:cs="Tinos"/>
                <w:sz w:val="20"/>
                <w:szCs w:val="20"/>
              </w:rPr>
            </w:r>
          </w:p>
        </w:tc>
        <w:tc>
          <w:tcPr>
            <w:shd w:val="pct15" w:color="auto" w:fill="auto"/>
            <w:tcBorders>
              <w:top w:val="single" w:color="auto" w:sz="4" w:space="0"/>
              <w:left w:val="single" w:color="auto" w:sz="4" w:space="0"/>
              <w:bottom w:val="single" w:color="auto" w:sz="4" w:space="0"/>
              <w:right w:val="single" w:color="auto" w:sz="4" w:space="0"/>
            </w:tcBorders>
            <w:tcW w:w="1560" w:type="dxa"/>
            <w:vAlign w:val="center"/>
            <w:textDirection w:val="lrTb"/>
            <w:noWrap w:val="false"/>
          </w:tcPr>
          <w:p>
            <w:pPr>
              <w:ind w:left="60"/>
              <w:jc w:val="center"/>
              <w:spacing w:after="0" w:line="17" w:lineRule="atLeast"/>
              <w:widowControl w:val="off"/>
              <w:rPr>
                <w:rFonts w:ascii="Tinos" w:hAnsi="Tinos" w:cs="Tinos"/>
                <w:sz w:val="20"/>
                <w:szCs w:val="20"/>
              </w:rPr>
            </w:pPr>
            <w:r>
              <w:rPr>
                <w:rFonts w:ascii="Tinos" w:hAnsi="Tinos" w:eastAsia="Tinos" w:cs="Tinos"/>
                <w:sz w:val="20"/>
                <w:szCs w:val="20"/>
              </w:rPr>
              <w:t xml:space="preserve">7</w:t>
            </w:r>
            <w:r>
              <w:rPr>
                <w:rFonts w:ascii="Tinos" w:hAnsi="Tinos" w:cs="Tinos"/>
                <w:sz w:val="20"/>
                <w:szCs w:val="20"/>
              </w:rPr>
            </w:r>
          </w:p>
        </w:tc>
        <w:tc>
          <w:tcPr>
            <w:shd w:val="pct15" w:color="auto" w:fill="auto"/>
            <w:tcBorders>
              <w:top w:val="single" w:color="auto" w:sz="4" w:space="0"/>
              <w:left w:val="single" w:color="auto" w:sz="4" w:space="0"/>
              <w:bottom w:val="single" w:color="auto" w:sz="4" w:space="0"/>
              <w:right w:val="single" w:color="auto" w:sz="4" w:space="0"/>
            </w:tcBorders>
            <w:tcW w:w="1591" w:type="dxa"/>
            <w:vAlign w:val="bottom"/>
            <w:textDirection w:val="lrTb"/>
            <w:noWrap w:val="false"/>
          </w:tcPr>
          <w:p>
            <w:pPr>
              <w:ind w:left="60"/>
              <w:jc w:val="center"/>
              <w:spacing w:after="0" w:line="17" w:lineRule="atLeast"/>
              <w:widowControl w:val="off"/>
              <w:rPr>
                <w:rFonts w:ascii="Tinos" w:hAnsi="Tinos" w:cs="Tinos"/>
                <w:sz w:val="20"/>
                <w:szCs w:val="20"/>
              </w:rPr>
            </w:pPr>
            <w:r>
              <w:rPr>
                <w:rFonts w:ascii="Tinos" w:hAnsi="Tinos" w:eastAsia="Tinos" w:cs="Tinos"/>
                <w:sz w:val="20"/>
                <w:szCs w:val="20"/>
              </w:rPr>
              <w:t xml:space="preserve">8</w:t>
            </w:r>
            <w:r>
              <w:rPr>
                <w:rFonts w:ascii="Tinos" w:hAnsi="Tinos" w:cs="Tinos"/>
                <w:sz w:val="20"/>
                <w:szCs w:val="20"/>
              </w:rPr>
            </w:r>
          </w:p>
        </w:tc>
      </w:tr>
      <w:tr>
        <w:tblPrEx/>
        <w:trPr>
          <w:trHeight w:val="418"/>
        </w:trPr>
        <w:tc>
          <w:tcPr>
            <w:tcBorders>
              <w:top w:val="single" w:color="auto" w:sz="4" w:space="0"/>
              <w:left w:val="single" w:color="auto" w:sz="4" w:space="0"/>
              <w:bottom w:val="single" w:color="auto" w:sz="4" w:space="0"/>
              <w:right w:val="single" w:color="auto" w:sz="4" w:space="0"/>
            </w:tcBorders>
            <w:tcW w:w="534" w:type="dxa"/>
            <w:vAlign w:val="center"/>
            <w:textDirection w:val="lrTb"/>
            <w:noWrap w:val="false"/>
          </w:tcPr>
          <w:p>
            <w:pPr>
              <w:jc w:val="center"/>
              <w:spacing w:after="0" w:line="17" w:lineRule="atLeast"/>
              <w:widowControl w:val="off"/>
              <w:rPr>
                <w:rFonts w:ascii="Tinos" w:hAnsi="Tinos" w:cs="Tinos"/>
                <w:sz w:val="20"/>
                <w:szCs w:val="20"/>
                <w:highlight w:val="yellow"/>
              </w:rPr>
            </w:pPr>
            <w:r>
              <w:rPr>
                <w:rFonts w:ascii="Tinos" w:hAnsi="Tinos" w:cs="Tinos"/>
                <w:sz w:val="20"/>
                <w:szCs w:val="20"/>
                <w:highlight w:val="yellow"/>
              </w:rPr>
            </w:r>
            <w:r>
              <w:rPr>
                <w:rFonts w:ascii="Tinos" w:hAnsi="Tinos" w:cs="Tinos"/>
                <w:sz w:val="20"/>
                <w:szCs w:val="20"/>
                <w:highlight w:val="yellow"/>
              </w:rPr>
            </w:r>
          </w:p>
        </w:tc>
        <w:tc>
          <w:tcPr>
            <w:tcBorders>
              <w:top w:val="single" w:color="auto" w:sz="4" w:space="0"/>
              <w:left w:val="single" w:color="auto" w:sz="4" w:space="0"/>
              <w:bottom w:val="single" w:color="auto" w:sz="4" w:space="0"/>
              <w:right w:val="single" w:color="auto" w:sz="4" w:space="0"/>
            </w:tcBorders>
            <w:tcW w:w="850" w:type="dxa"/>
            <w:vAlign w:val="center"/>
            <w:textDirection w:val="lrTb"/>
            <w:noWrap w:val="false"/>
          </w:tcPr>
          <w:p>
            <w:pPr>
              <w:jc w:val="center"/>
              <w:spacing w:after="0" w:line="17" w:lineRule="atLeast"/>
              <w:rPr>
                <w:rFonts w:ascii="Tinos" w:hAnsi="Tinos" w:cs="Tinos"/>
                <w:sz w:val="20"/>
                <w:szCs w:val="20"/>
              </w:rPr>
            </w:pPr>
            <w:r>
              <w:rPr>
                <w:rFonts w:ascii="Tinos" w:hAnsi="Tinos" w:cs="Tinos"/>
                <w:sz w:val="20"/>
                <w:szCs w:val="20"/>
              </w:rPr>
            </w:r>
            <w:r>
              <w:rPr>
                <w:rFonts w:ascii="Tinos" w:hAnsi="Tinos" w:cs="Tinos"/>
                <w:sz w:val="20"/>
                <w:szCs w:val="20"/>
              </w:rPr>
            </w:r>
          </w:p>
        </w:tc>
        <w:tc>
          <w:tcPr>
            <w:tcBorders>
              <w:top w:val="single" w:color="auto" w:sz="4" w:space="0"/>
              <w:left w:val="single" w:color="auto" w:sz="4" w:space="0"/>
              <w:bottom w:val="single" w:color="auto" w:sz="4" w:space="0"/>
              <w:right w:val="single" w:color="auto" w:sz="4" w:space="0"/>
            </w:tcBorders>
            <w:tcW w:w="851" w:type="dxa"/>
            <w:vAlign w:val="center"/>
            <w:textDirection w:val="lrTb"/>
            <w:noWrap w:val="false"/>
          </w:tcPr>
          <w:p>
            <w:pPr>
              <w:jc w:val="center"/>
              <w:spacing w:after="0" w:line="17" w:lineRule="atLeast"/>
              <w:rPr>
                <w:rFonts w:ascii="Tinos" w:hAnsi="Tinos" w:cs="Tinos"/>
                <w:sz w:val="20"/>
                <w:szCs w:val="20"/>
              </w:rPr>
            </w:pPr>
            <w:r>
              <w:rPr>
                <w:rFonts w:ascii="Tinos" w:hAnsi="Tinos" w:cs="Tinos"/>
                <w:sz w:val="20"/>
                <w:szCs w:val="20"/>
              </w:rPr>
            </w:r>
            <w:r>
              <w:rPr>
                <w:rFonts w:ascii="Tinos" w:hAnsi="Tinos" w:cs="Tinos"/>
                <w:sz w:val="20"/>
                <w:szCs w:val="20"/>
              </w:rPr>
            </w:r>
          </w:p>
        </w:tc>
        <w:tc>
          <w:tcPr>
            <w:tcBorders>
              <w:top w:val="single" w:color="auto" w:sz="4" w:space="0"/>
              <w:left w:val="single" w:color="auto" w:sz="4" w:space="0"/>
              <w:bottom w:val="single" w:color="auto" w:sz="4" w:space="0"/>
              <w:right w:val="single" w:color="auto" w:sz="4" w:space="0"/>
            </w:tcBorders>
            <w:tcW w:w="1842" w:type="dxa"/>
            <w:vAlign w:val="center"/>
            <w:textDirection w:val="lrTb"/>
            <w:noWrap w:val="false"/>
          </w:tcPr>
          <w:p>
            <w:pPr>
              <w:jc w:val="center"/>
              <w:spacing w:after="0" w:line="17" w:lineRule="atLeast"/>
              <w:rPr>
                <w:rFonts w:ascii="Tinos" w:hAnsi="Tinos" w:cs="Tinos"/>
                <w:sz w:val="20"/>
                <w:szCs w:val="20"/>
              </w:rPr>
            </w:pPr>
            <w:r>
              <w:rPr>
                <w:rFonts w:ascii="Tinos" w:hAnsi="Tinos" w:cs="Tinos"/>
                <w:sz w:val="20"/>
                <w:szCs w:val="20"/>
              </w:rPr>
            </w:r>
            <w:r>
              <w:rPr>
                <w:rFonts w:ascii="Tinos" w:hAnsi="Tinos" w:cs="Tinos"/>
                <w:sz w:val="20"/>
                <w:szCs w:val="20"/>
              </w:rPr>
            </w:r>
          </w:p>
        </w:tc>
        <w:tc>
          <w:tcPr>
            <w:tcBorders>
              <w:top w:val="single" w:color="auto" w:sz="4" w:space="0"/>
              <w:left w:val="single" w:color="auto" w:sz="4" w:space="0"/>
              <w:bottom w:val="single" w:color="auto" w:sz="4" w:space="0"/>
              <w:right w:val="single" w:color="auto" w:sz="4" w:space="0"/>
            </w:tcBorders>
            <w:tcW w:w="1418" w:type="dxa"/>
            <w:vAlign w:val="center"/>
            <w:textDirection w:val="lrTb"/>
            <w:noWrap w:val="false"/>
          </w:tcPr>
          <w:p>
            <w:pPr>
              <w:jc w:val="center"/>
              <w:spacing w:after="0" w:line="17" w:lineRule="atLeast"/>
              <w:rPr>
                <w:rFonts w:ascii="Tinos" w:hAnsi="Tinos" w:cs="Tinos"/>
                <w:sz w:val="20"/>
                <w:szCs w:val="20"/>
              </w:rPr>
            </w:pPr>
            <w:r>
              <w:rPr>
                <w:rFonts w:ascii="Tinos" w:hAnsi="Tinos" w:cs="Tinos"/>
                <w:sz w:val="20"/>
                <w:szCs w:val="20"/>
              </w:rPr>
            </w:r>
            <w:r>
              <w:rPr>
                <w:rFonts w:ascii="Tinos" w:hAnsi="Tinos" w:cs="Tinos"/>
                <w:sz w:val="20"/>
                <w:szCs w:val="20"/>
              </w:rPr>
            </w:r>
          </w:p>
        </w:tc>
        <w:tc>
          <w:tcPr>
            <w:tcBorders>
              <w:top w:val="single" w:color="auto" w:sz="4" w:space="0"/>
              <w:left w:val="single" w:color="auto" w:sz="4" w:space="0"/>
              <w:bottom w:val="single" w:color="auto" w:sz="4" w:space="0"/>
              <w:right w:val="single" w:color="auto" w:sz="4" w:space="0"/>
            </w:tcBorders>
            <w:tcW w:w="1417" w:type="dxa"/>
            <w:vAlign w:val="center"/>
            <w:textDirection w:val="lrTb"/>
            <w:noWrap w:val="false"/>
          </w:tcPr>
          <w:p>
            <w:pPr>
              <w:jc w:val="center"/>
              <w:spacing w:after="0" w:line="17" w:lineRule="atLeast"/>
              <w:rPr>
                <w:rFonts w:ascii="Tinos" w:hAnsi="Tinos" w:cs="Tinos"/>
                <w:sz w:val="20"/>
                <w:szCs w:val="20"/>
              </w:rPr>
            </w:pPr>
            <w:r>
              <w:rPr>
                <w:rFonts w:ascii="Tinos" w:hAnsi="Tinos" w:cs="Tinos"/>
                <w:sz w:val="20"/>
                <w:szCs w:val="20"/>
              </w:rPr>
            </w:r>
            <w:r>
              <w:rPr>
                <w:rFonts w:ascii="Tinos" w:hAnsi="Tinos" w:cs="Tinos"/>
                <w:sz w:val="20"/>
                <w:szCs w:val="20"/>
              </w:rPr>
            </w:r>
          </w:p>
        </w:tc>
        <w:tc>
          <w:tcPr>
            <w:tcBorders>
              <w:top w:val="single" w:color="auto" w:sz="4" w:space="0"/>
              <w:left w:val="single" w:color="auto" w:sz="4" w:space="0"/>
              <w:bottom w:val="single" w:color="auto" w:sz="4" w:space="0"/>
              <w:right w:val="single" w:color="auto" w:sz="4" w:space="0"/>
            </w:tcBorders>
            <w:tcW w:w="1560" w:type="dxa"/>
            <w:vAlign w:val="center"/>
            <w:textDirection w:val="lrTb"/>
            <w:noWrap w:val="false"/>
          </w:tcPr>
          <w:p>
            <w:pPr>
              <w:jc w:val="center"/>
              <w:spacing w:after="0" w:line="17" w:lineRule="atLeast"/>
              <w:rPr>
                <w:rFonts w:ascii="Tinos" w:hAnsi="Tinos" w:cs="Tinos"/>
                <w:sz w:val="20"/>
                <w:szCs w:val="20"/>
              </w:rPr>
            </w:pPr>
            <w:r>
              <w:rPr>
                <w:rFonts w:ascii="Tinos" w:hAnsi="Tinos" w:cs="Tinos"/>
                <w:sz w:val="20"/>
                <w:szCs w:val="20"/>
              </w:rPr>
            </w:r>
            <w:r>
              <w:rPr>
                <w:rFonts w:ascii="Tinos" w:hAnsi="Tinos" w:cs="Tinos"/>
                <w:sz w:val="20"/>
                <w:szCs w:val="20"/>
              </w:rPr>
            </w:r>
          </w:p>
        </w:tc>
        <w:tc>
          <w:tcPr>
            <w:tcBorders>
              <w:top w:val="single" w:color="auto" w:sz="4" w:space="0"/>
              <w:left w:val="single" w:color="auto" w:sz="4" w:space="0"/>
              <w:bottom w:val="single" w:color="auto" w:sz="4" w:space="0"/>
              <w:right w:val="single" w:color="auto" w:sz="4" w:space="0"/>
            </w:tcBorders>
            <w:tcW w:w="1591" w:type="dxa"/>
            <w:vAlign w:val="center"/>
            <w:textDirection w:val="lrTb"/>
            <w:noWrap w:val="false"/>
          </w:tcPr>
          <w:p>
            <w:pPr>
              <w:jc w:val="center"/>
              <w:spacing w:after="0" w:line="17" w:lineRule="atLeast"/>
              <w:rPr>
                <w:rFonts w:ascii="Tinos" w:hAnsi="Tinos" w:cs="Tinos"/>
                <w:sz w:val="20"/>
                <w:szCs w:val="20"/>
              </w:rPr>
            </w:pPr>
            <w:r>
              <w:rPr>
                <w:rFonts w:ascii="Tinos" w:hAnsi="Tinos" w:cs="Tinos"/>
                <w:sz w:val="20"/>
                <w:szCs w:val="20"/>
              </w:rPr>
            </w:r>
            <w:r>
              <w:rPr>
                <w:rFonts w:ascii="Tinos" w:hAnsi="Tinos" w:cs="Tinos"/>
                <w:sz w:val="20"/>
                <w:szCs w:val="20"/>
              </w:rPr>
            </w:r>
          </w:p>
        </w:tc>
      </w:tr>
    </w:tbl>
    <w:p>
      <w:pPr>
        <w:jc w:val="both"/>
        <w:spacing w:after="0" w:line="17" w:lineRule="atLeast"/>
        <w:widowControl w:val="off"/>
        <w:tabs>
          <w:tab w:val="left" w:pos="-534" w:leader="none"/>
          <w:tab w:val="left" w:pos="1276" w:leader="none"/>
          <w:tab w:val="num" w:pos="1626" w:leader="none"/>
          <w:tab w:val="num" w:pos="1909" w:leader="none"/>
        </w:tabs>
        <w:rPr>
          <w:rFonts w:ascii="Tinos" w:hAnsi="Tinos" w:cs="Tinos"/>
          <w:sz w:val="20"/>
          <w:szCs w:val="20"/>
        </w:rPr>
      </w:pPr>
      <w:r>
        <w:rPr>
          <w:rFonts w:ascii="Tinos" w:hAnsi="Tinos" w:cs="Tinos"/>
          <w:sz w:val="20"/>
          <w:szCs w:val="20"/>
        </w:rPr>
      </w:r>
      <w:r>
        <w:rPr>
          <w:rFonts w:ascii="Tinos" w:hAnsi="Tinos" w:cs="Tinos"/>
          <w:sz w:val="20"/>
          <w:szCs w:val="20"/>
        </w:rPr>
      </w:r>
    </w:p>
    <w:p>
      <w:pPr>
        <w:jc w:val="both"/>
        <w:spacing w:after="0" w:line="17" w:lineRule="atLeast"/>
        <w:widowControl w:val="off"/>
        <w:tabs>
          <w:tab w:val="left" w:pos="-534" w:leader="none"/>
          <w:tab w:val="left" w:pos="1276" w:leader="none"/>
          <w:tab w:val="num" w:pos="1626" w:leader="none"/>
          <w:tab w:val="num" w:pos="1909" w:leader="none"/>
        </w:tabs>
        <w:rPr>
          <w:rFonts w:ascii="Tinos" w:hAnsi="Tinos" w:cs="Tinos"/>
          <w:sz w:val="20"/>
          <w:szCs w:val="20"/>
        </w:rPr>
      </w:pPr>
      <w:r>
        <w:rPr>
          <w:rFonts w:ascii="Tinos" w:hAnsi="Tinos" w:cs="Tinos"/>
          <w:sz w:val="20"/>
          <w:szCs w:val="20"/>
        </w:rPr>
      </w:r>
      <w:r>
        <w:rPr>
          <w:rFonts w:ascii="Tinos" w:hAnsi="Tinos" w:cs="Tinos"/>
          <w:sz w:val="20"/>
          <w:szCs w:val="20"/>
        </w:rPr>
      </w:r>
    </w:p>
    <w:p>
      <w:pPr>
        <w:jc w:val="both"/>
        <w:spacing w:after="0" w:line="17" w:lineRule="atLeast"/>
        <w:widowControl w:val="off"/>
        <w:tabs>
          <w:tab w:val="left" w:pos="-534" w:leader="none"/>
          <w:tab w:val="left" w:pos="1276" w:leader="none"/>
          <w:tab w:val="num" w:pos="1626" w:leader="none"/>
          <w:tab w:val="num" w:pos="1909" w:leader="none"/>
        </w:tabs>
        <w:rPr>
          <w:rFonts w:ascii="Tinos" w:hAnsi="Tinos" w:cs="Tinos"/>
          <w:sz w:val="20"/>
          <w:szCs w:val="20"/>
        </w:rPr>
      </w:pPr>
      <w:r>
        <w:rPr>
          <w:rFonts w:ascii="Tinos" w:hAnsi="Tinos" w:cs="Tinos"/>
          <w:sz w:val="20"/>
          <w:szCs w:val="20"/>
        </w:rPr>
      </w:r>
      <w:r>
        <w:rPr>
          <w:rFonts w:ascii="Tinos" w:hAnsi="Tinos" w:cs="Tinos"/>
          <w:sz w:val="20"/>
          <w:szCs w:val="20"/>
        </w:rPr>
      </w:r>
    </w:p>
    <w:p>
      <w:pPr>
        <w:jc w:val="both"/>
        <w:spacing w:after="0" w:line="17" w:lineRule="atLeast"/>
        <w:widowControl w:val="off"/>
        <w:tabs>
          <w:tab w:val="left" w:pos="-534" w:leader="none"/>
          <w:tab w:val="left" w:pos="1276" w:leader="none"/>
          <w:tab w:val="num" w:pos="1626" w:leader="none"/>
          <w:tab w:val="num" w:pos="1909" w:leader="none"/>
        </w:tabs>
        <w:rPr>
          <w:rFonts w:ascii="Tinos" w:hAnsi="Tinos" w:cs="Tinos"/>
          <w:sz w:val="20"/>
          <w:szCs w:val="20"/>
        </w:rPr>
      </w:pPr>
      <w:r>
        <w:rPr>
          <w:rFonts w:ascii="Tinos" w:hAnsi="Tinos" w:cs="Tinos"/>
          <w:sz w:val="20"/>
          <w:szCs w:val="20"/>
        </w:rPr>
      </w:r>
      <w:r>
        <w:rPr>
          <w:rFonts w:ascii="Tinos" w:hAnsi="Tinos" w:cs="Tinos"/>
          <w:sz w:val="20"/>
          <w:szCs w:val="20"/>
        </w:rPr>
      </w:r>
    </w:p>
    <w:p>
      <w:pPr>
        <w:jc w:val="both"/>
        <w:spacing w:after="0" w:line="300" w:lineRule="exact"/>
        <w:widowControl w:val="off"/>
        <w:tabs>
          <w:tab w:val="left" w:pos="-534" w:leader="none"/>
          <w:tab w:val="left" w:pos="1276" w:leader="none"/>
          <w:tab w:val="num" w:pos="1626" w:leader="none"/>
          <w:tab w:val="num" w:pos="1909" w:leader="none"/>
        </w:tabs>
      </w:pPr>
      <w:r/>
      <w:r/>
    </w:p>
    <w:p>
      <w:pPr>
        <w:jc w:val="both"/>
        <w:spacing w:after="0" w:line="300" w:lineRule="exact"/>
        <w:widowControl w:val="off"/>
        <w:tabs>
          <w:tab w:val="left" w:pos="-534" w:leader="none"/>
          <w:tab w:val="left" w:pos="1276" w:leader="none"/>
          <w:tab w:val="num" w:pos="1626" w:leader="none"/>
          <w:tab w:val="num" w:pos="1909" w:leader="none"/>
        </w:tabs>
      </w:pPr>
      <w:r/>
      <w:r/>
    </w:p>
    <w:p>
      <w:pPr>
        <w:jc w:val="both"/>
        <w:spacing w:after="0" w:line="300" w:lineRule="exact"/>
        <w:widowControl w:val="off"/>
        <w:tabs>
          <w:tab w:val="left" w:pos="-534" w:leader="none"/>
          <w:tab w:val="left" w:pos="1276" w:leader="none"/>
          <w:tab w:val="num" w:pos="1626" w:leader="none"/>
          <w:tab w:val="num" w:pos="1909" w:leader="none"/>
        </w:tabs>
      </w:pPr>
      <w:r/>
      <w:r/>
    </w:p>
    <w:p>
      <w:pPr>
        <w:jc w:val="both"/>
        <w:spacing w:after="0" w:line="300" w:lineRule="exact"/>
        <w:widowControl w:val="off"/>
        <w:tabs>
          <w:tab w:val="left" w:pos="-534" w:leader="none"/>
          <w:tab w:val="left" w:pos="1276" w:leader="none"/>
          <w:tab w:val="num" w:pos="1626" w:leader="none"/>
          <w:tab w:val="num" w:pos="1909" w:leader="none"/>
        </w:tabs>
      </w:pPr>
      <w:r/>
      <w:r/>
    </w:p>
    <w:p>
      <w:pPr>
        <w:jc w:val="both"/>
        <w:spacing w:after="0" w:line="300" w:lineRule="exact"/>
        <w:widowControl w:val="off"/>
        <w:tabs>
          <w:tab w:val="left" w:pos="-534" w:leader="none"/>
          <w:tab w:val="left" w:pos="1276" w:leader="none"/>
          <w:tab w:val="num" w:pos="1626" w:leader="none"/>
          <w:tab w:val="num" w:pos="1909" w:leader="none"/>
        </w:tabs>
      </w:pPr>
      <w:r/>
      <w:r/>
    </w:p>
    <w:p>
      <w:pPr>
        <w:jc w:val="both"/>
        <w:spacing w:after="0" w:line="300" w:lineRule="exact"/>
        <w:widowControl w:val="off"/>
        <w:tabs>
          <w:tab w:val="left" w:pos="-534" w:leader="none"/>
          <w:tab w:val="left" w:pos="1276" w:leader="none"/>
          <w:tab w:val="num" w:pos="1626" w:leader="none"/>
          <w:tab w:val="num" w:pos="1909" w:leader="none"/>
        </w:tabs>
      </w:pPr>
      <w:r/>
      <w:r/>
    </w:p>
    <w:p>
      <w:pPr>
        <w:jc w:val="both"/>
        <w:spacing w:after="0" w:line="300" w:lineRule="exact"/>
        <w:widowControl w:val="off"/>
        <w:tabs>
          <w:tab w:val="left" w:pos="-534" w:leader="none"/>
          <w:tab w:val="left" w:pos="1276" w:leader="none"/>
          <w:tab w:val="num" w:pos="1626" w:leader="none"/>
          <w:tab w:val="num" w:pos="1909" w:leader="none"/>
        </w:tabs>
      </w:pPr>
      <w:r/>
      <w:r/>
    </w:p>
    <w:p>
      <w:pPr>
        <w:jc w:val="both"/>
        <w:spacing w:after="0" w:line="300" w:lineRule="exact"/>
        <w:widowControl w:val="off"/>
        <w:tabs>
          <w:tab w:val="left" w:pos="-534" w:leader="none"/>
          <w:tab w:val="left" w:pos="1276" w:leader="none"/>
          <w:tab w:val="num" w:pos="1626" w:leader="none"/>
          <w:tab w:val="num" w:pos="1909" w:leader="none"/>
        </w:tabs>
      </w:pPr>
      <w:r/>
      <w:r/>
    </w:p>
    <w:p>
      <w:pPr>
        <w:jc w:val="both"/>
        <w:spacing w:after="0" w:line="300" w:lineRule="exact"/>
        <w:widowControl w:val="off"/>
        <w:tabs>
          <w:tab w:val="left" w:pos="-534" w:leader="none"/>
          <w:tab w:val="left" w:pos="1276" w:leader="none"/>
          <w:tab w:val="num" w:pos="1626" w:leader="none"/>
          <w:tab w:val="num" w:pos="1909" w:leader="none"/>
        </w:tabs>
      </w:pPr>
      <w:r/>
      <w:r/>
    </w:p>
    <w:p>
      <w:pPr>
        <w:jc w:val="both"/>
        <w:spacing w:after="0" w:line="300" w:lineRule="exact"/>
        <w:widowControl w:val="off"/>
        <w:tabs>
          <w:tab w:val="left" w:pos="-534" w:leader="none"/>
          <w:tab w:val="left" w:pos="1276" w:leader="none"/>
          <w:tab w:val="num" w:pos="1626" w:leader="none"/>
          <w:tab w:val="num" w:pos="1909" w:leader="none"/>
        </w:tabs>
      </w:pPr>
      <w:r/>
      <w:r/>
    </w:p>
    <w:p>
      <w:pPr>
        <w:jc w:val="both"/>
        <w:spacing w:after="0" w:line="300" w:lineRule="exact"/>
        <w:widowControl w:val="off"/>
        <w:tabs>
          <w:tab w:val="left" w:pos="-534" w:leader="none"/>
          <w:tab w:val="left" w:pos="1276" w:leader="none"/>
          <w:tab w:val="num" w:pos="1626" w:leader="none"/>
          <w:tab w:val="num" w:pos="1909" w:leader="none"/>
        </w:tabs>
      </w:pPr>
      <w:r/>
      <w:r/>
    </w:p>
    <w:p>
      <w:pPr>
        <w:jc w:val="both"/>
        <w:spacing w:after="0" w:line="300" w:lineRule="exact"/>
        <w:widowControl w:val="off"/>
        <w:tabs>
          <w:tab w:val="left" w:pos="-534" w:leader="none"/>
          <w:tab w:val="left" w:pos="1276" w:leader="none"/>
          <w:tab w:val="num" w:pos="1626" w:leader="none"/>
          <w:tab w:val="num" w:pos="1909" w:leader="none"/>
        </w:tabs>
      </w:pPr>
      <w:r/>
      <w:r/>
    </w:p>
    <w:p>
      <w:pPr>
        <w:jc w:val="both"/>
        <w:spacing w:after="0" w:line="300" w:lineRule="exact"/>
        <w:widowControl w:val="off"/>
        <w:tabs>
          <w:tab w:val="left" w:pos="-534" w:leader="none"/>
          <w:tab w:val="left" w:pos="1276" w:leader="none"/>
          <w:tab w:val="num" w:pos="1626" w:leader="none"/>
          <w:tab w:val="num" w:pos="1909" w:leader="none"/>
        </w:tabs>
      </w:pPr>
      <w:r/>
      <w:r/>
    </w:p>
    <w:p>
      <w:pPr>
        <w:jc w:val="both"/>
        <w:spacing w:after="0" w:line="300" w:lineRule="exact"/>
        <w:widowControl w:val="off"/>
        <w:tabs>
          <w:tab w:val="left" w:pos="-534" w:leader="none"/>
          <w:tab w:val="left" w:pos="1276" w:leader="none"/>
          <w:tab w:val="num" w:pos="1626" w:leader="none"/>
          <w:tab w:val="num" w:pos="1909" w:leader="none"/>
        </w:tabs>
      </w:pPr>
      <w:r/>
      <w:r/>
    </w:p>
    <w:p>
      <w:pPr>
        <w:jc w:val="both"/>
        <w:spacing w:after="0" w:line="300" w:lineRule="exact"/>
        <w:widowControl w:val="off"/>
        <w:tabs>
          <w:tab w:val="left" w:pos="-534" w:leader="none"/>
          <w:tab w:val="left" w:pos="1276" w:leader="none"/>
          <w:tab w:val="num" w:pos="1626" w:leader="none"/>
          <w:tab w:val="num" w:pos="1909" w:leader="none"/>
        </w:tabs>
      </w:pPr>
      <w:r/>
      <w:r/>
    </w:p>
    <w:p>
      <w:pPr>
        <w:jc w:val="both"/>
        <w:spacing w:after="0" w:line="300" w:lineRule="exact"/>
        <w:widowControl w:val="off"/>
        <w:tabs>
          <w:tab w:val="left" w:pos="-534" w:leader="none"/>
          <w:tab w:val="left" w:pos="1276" w:leader="none"/>
          <w:tab w:val="num" w:pos="1626" w:leader="none"/>
          <w:tab w:val="num" w:pos="1909" w:leader="none"/>
        </w:tabs>
      </w:pPr>
      <w:r/>
      <w:r/>
    </w:p>
    <w:p>
      <w:pPr>
        <w:jc w:val="both"/>
        <w:spacing w:after="0" w:line="300" w:lineRule="exact"/>
        <w:widowControl w:val="off"/>
        <w:tabs>
          <w:tab w:val="left" w:pos="-534" w:leader="none"/>
          <w:tab w:val="left" w:pos="1276" w:leader="none"/>
          <w:tab w:val="num" w:pos="1626" w:leader="none"/>
          <w:tab w:val="num" w:pos="1909" w:leader="none"/>
        </w:tabs>
      </w:pPr>
      <w:r/>
      <w:r/>
    </w:p>
    <w:p>
      <w:pPr>
        <w:jc w:val="both"/>
        <w:spacing w:after="0" w:line="300" w:lineRule="exact"/>
        <w:widowControl w:val="off"/>
        <w:tabs>
          <w:tab w:val="left" w:pos="-534" w:leader="none"/>
          <w:tab w:val="left" w:pos="1276" w:leader="none"/>
          <w:tab w:val="num" w:pos="1626" w:leader="none"/>
          <w:tab w:val="num" w:pos="1909" w:leader="none"/>
        </w:tabs>
      </w:pPr>
      <w:r/>
      <w:r/>
    </w:p>
    <w:p>
      <w:pPr>
        <w:jc w:val="both"/>
        <w:spacing w:after="0" w:line="300" w:lineRule="exact"/>
        <w:widowControl w:val="off"/>
        <w:tabs>
          <w:tab w:val="left" w:pos="-534" w:leader="none"/>
          <w:tab w:val="left" w:pos="1276" w:leader="none"/>
          <w:tab w:val="num" w:pos="1626" w:leader="none"/>
          <w:tab w:val="num" w:pos="1909" w:leader="none"/>
        </w:tabs>
      </w:pPr>
      <w:r/>
      <w:r/>
    </w:p>
    <w:p>
      <w:pPr>
        <w:jc w:val="both"/>
        <w:spacing w:after="0" w:line="300" w:lineRule="exact"/>
        <w:widowControl w:val="off"/>
        <w:tabs>
          <w:tab w:val="left" w:pos="-534" w:leader="none"/>
          <w:tab w:val="left" w:pos="1276" w:leader="none"/>
          <w:tab w:val="num" w:pos="1626" w:leader="none"/>
          <w:tab w:val="num" w:pos="1909" w:leader="none"/>
        </w:tabs>
      </w:pPr>
      <w:r/>
      <w:r/>
    </w:p>
    <w:p>
      <w:pPr>
        <w:jc w:val="both"/>
        <w:spacing w:after="0" w:line="300" w:lineRule="exact"/>
        <w:widowControl w:val="off"/>
        <w:tabs>
          <w:tab w:val="left" w:pos="-534" w:leader="none"/>
          <w:tab w:val="left" w:pos="1276" w:leader="none"/>
          <w:tab w:val="num" w:pos="1626" w:leader="none"/>
          <w:tab w:val="num" w:pos="1909" w:leader="none"/>
        </w:tabs>
      </w:pPr>
      <w:r/>
      <w:r/>
    </w:p>
    <w:p>
      <w:pPr>
        <w:tabs>
          <w:tab w:val="left" w:pos="7995" w:leader="none"/>
        </w:tabs>
      </w:pPr>
      <w:r/>
      <w:r/>
    </w:p>
    <w:p>
      <w:pPr>
        <w:tabs>
          <w:tab w:val="left" w:pos="7995" w:leader="none"/>
        </w:tabs>
      </w:pPr>
      <w:r/>
      <w:r/>
    </w:p>
    <w:p>
      <w:pPr>
        <w:tabs>
          <w:tab w:val="left" w:pos="7995" w:leader="none"/>
        </w:tabs>
      </w:pPr>
      <w:r/>
      <w:r/>
    </w:p>
    <w:p>
      <w:pPr>
        <w:tabs>
          <w:tab w:val="left" w:pos="7995" w:leader="none"/>
        </w:tabs>
      </w:pPr>
      <w:r/>
      <w:r/>
    </w:p>
    <w:p>
      <w:pPr>
        <w:jc w:val="both"/>
        <w:spacing w:after="0" w:line="240" w:lineRule="auto"/>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 xml:space="preserve">                                                                                                                                    </w:t>
      </w:r>
      <w:r>
        <w:rPr>
          <w:rFonts w:ascii="Times New Roman" w:hAnsi="Times New Roman" w:eastAsia="Times New Roman" w:cs="Times New Roman"/>
          <w:sz w:val="20"/>
          <w:szCs w:val="20"/>
          <w:lang w:eastAsia="ru-RU"/>
        </w:rPr>
      </w:r>
    </w:p>
    <w:p>
      <w:pPr>
        <w:jc w:val="both"/>
        <w:spacing w:after="0" w:line="17" w:lineRule="atLeast"/>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 xml:space="preserve">      </w:t>
      </w:r>
      <w:r>
        <w:rPr>
          <w:rFonts w:ascii="Times New Roman" w:hAnsi="Times New Roman" w:eastAsia="Times New Roman" w:cs="Times New Roman"/>
          <w:sz w:val="20"/>
          <w:szCs w:val="20"/>
          <w:lang w:eastAsia="ru-RU"/>
        </w:rPr>
      </w:r>
    </w:p>
    <w:p>
      <w:pPr>
        <w:jc w:val="both"/>
        <w:spacing w:after="0" w:line="17" w:lineRule="atLeast"/>
        <w:rPr>
          <w:rFonts w:ascii="Tinos" w:hAnsi="Tinos" w:cs="Tinos"/>
          <w:sz w:val="20"/>
          <w:szCs w:val="20"/>
        </w:rPr>
      </w:pPr>
      <w:r>
        <w:rPr>
          <w:rFonts w:ascii="Tinos" w:hAnsi="Tinos" w:cs="Tinos"/>
          <w:sz w:val="20"/>
          <w:szCs w:val="20"/>
        </w:rPr>
      </w:r>
      <w:r>
        <w:rPr>
          <w:rFonts w:ascii="Tinos" w:hAnsi="Tinos" w:cs="Tinos"/>
          <w:sz w:val="20"/>
          <w:szCs w:val="20"/>
        </w:rPr>
      </w:r>
    </w:p>
    <w:p>
      <w:pPr>
        <w:jc w:val="both"/>
        <w:spacing w:after="0" w:line="17" w:lineRule="atLeast"/>
        <w:rPr>
          <w:rFonts w:ascii="Tinos" w:hAnsi="Tinos" w:eastAsia="Tinos" w:cs="Tinos"/>
          <w:sz w:val="20"/>
          <w:szCs w:val="20"/>
          <w:lang w:eastAsia="ru-RU"/>
        </w:rPr>
      </w:pPr>
      <w:r>
        <w:rPr>
          <w:rFonts w:ascii="Tinos" w:hAnsi="Tinos" w:eastAsia="Tinos" w:cs="Tinos"/>
          <w:sz w:val="20"/>
          <w:szCs w:val="20"/>
          <w:lang w:eastAsia="ru-RU"/>
        </w:rPr>
      </w:r>
      <w:r>
        <w:rPr>
          <w:rFonts w:ascii="Tinos" w:hAnsi="Tinos" w:eastAsia="Tinos" w:cs="Tinos"/>
          <w:sz w:val="20"/>
          <w:szCs w:val="20"/>
          <w:lang w:eastAsia="ru-RU"/>
        </w:rPr>
      </w:r>
    </w:p>
    <w:p>
      <w:pPr>
        <w:jc w:val="both"/>
        <w:spacing w:after="0" w:line="17" w:lineRule="atLeast"/>
        <w:rPr>
          <w:rFonts w:ascii="Tinos" w:hAnsi="Tinos" w:eastAsia="Tinos" w:cs="Tinos"/>
          <w:sz w:val="20"/>
          <w:szCs w:val="20"/>
          <w:lang w:eastAsia="ru-RU"/>
        </w:rPr>
      </w:pPr>
      <w:r>
        <w:rPr>
          <w:rFonts w:ascii="Tinos" w:hAnsi="Tinos" w:eastAsia="Tinos" w:cs="Tinos"/>
          <w:sz w:val="20"/>
          <w:szCs w:val="20"/>
          <w:lang w:eastAsia="ru-RU"/>
        </w:rPr>
      </w:r>
      <w:r>
        <w:rPr>
          <w:rFonts w:ascii="Tinos" w:hAnsi="Tinos" w:eastAsia="Tinos" w:cs="Tinos"/>
          <w:sz w:val="20"/>
          <w:szCs w:val="20"/>
          <w:lang w:eastAsia="ru-RU"/>
        </w:rPr>
      </w:r>
    </w:p>
    <w:p>
      <w:pPr>
        <w:jc w:val="both"/>
        <w:spacing w:after="0" w:line="17" w:lineRule="atLeast"/>
        <w:rPr>
          <w:rFonts w:ascii="Tinos" w:hAnsi="Tinos" w:eastAsia="Tinos" w:cs="Tinos"/>
          <w:sz w:val="20"/>
          <w:szCs w:val="20"/>
          <w:lang w:eastAsia="ru-RU"/>
        </w:rPr>
      </w:pPr>
      <w:r>
        <w:rPr>
          <w:rFonts w:ascii="Times New Roman" w:hAnsi="Times New Roman" w:eastAsia="Times New Roman" w:cs="Times New Roman"/>
          <w:sz w:val="20"/>
          <w:szCs w:val="20"/>
          <w:lang w:eastAsia="ru-RU"/>
        </w:rPr>
        <w:t xml:space="preserve">                                                                              </w:t>
      </w:r>
      <w:r>
        <w:rPr>
          <w:rFonts w:ascii="Tinos" w:hAnsi="Tinos" w:eastAsia="Tinos" w:cs="Tinos"/>
          <w:sz w:val="20"/>
          <w:szCs w:val="20"/>
          <w:lang w:eastAsia="ru-RU"/>
        </w:rPr>
        <w:t xml:space="preserve">                                   </w:t>
      </w:r>
      <w:r>
        <w:rPr>
          <w:rFonts w:ascii="Tinos" w:hAnsi="Tinos" w:eastAsia="Tinos" w:cs="Tinos"/>
          <w:sz w:val="20"/>
          <w:szCs w:val="20"/>
          <w:lang w:eastAsia="ru-RU"/>
        </w:rPr>
        <w:t xml:space="preserve">        </w:t>
      </w:r>
      <w:bookmarkStart w:id="3" w:name="_Hlk148038540"/>
      <w:r>
        <w:rPr>
          <w:rFonts w:ascii="Tinos" w:hAnsi="Tinos" w:eastAsia="Tinos" w:cs="Tinos"/>
          <w:sz w:val="20"/>
          <w:szCs w:val="20"/>
          <w:lang w:eastAsia="ru-RU"/>
        </w:rPr>
        <w:t xml:space="preserve">      Приложение № 4</w:t>
      </w:r>
      <w:r>
        <w:rPr>
          <w:rFonts w:ascii="Tinos" w:hAnsi="Tinos" w:eastAsia="Tinos" w:cs="Tinos"/>
          <w:sz w:val="20"/>
          <w:szCs w:val="20"/>
          <w:lang w:eastAsia="ru-RU"/>
        </w:rPr>
      </w:r>
    </w:p>
    <w:p>
      <w:pPr>
        <w:ind w:left="5672" w:firstLine="709"/>
        <w:jc w:val="both"/>
        <w:spacing w:after="0" w:line="17" w:lineRule="atLeast"/>
        <w:rPr>
          <w:rFonts w:ascii="Tinos" w:hAnsi="Tinos" w:cs="Tinos"/>
          <w:sz w:val="20"/>
          <w:szCs w:val="20"/>
        </w:rPr>
      </w:pPr>
      <w:r>
        <w:rPr>
          <w:rFonts w:ascii="Tinos" w:hAnsi="Tinos" w:eastAsia="Tinos" w:cs="Tinos"/>
          <w:sz w:val="20"/>
          <w:szCs w:val="20"/>
          <w:lang w:eastAsia="ru-RU"/>
        </w:rPr>
        <w:t xml:space="preserve">к Договору №___________________</w:t>
      </w:r>
      <w:r>
        <w:rPr>
          <w:rFonts w:ascii="Tinos" w:hAnsi="Tinos" w:cs="Tinos"/>
          <w:sz w:val="20"/>
          <w:szCs w:val="20"/>
        </w:rPr>
      </w:r>
    </w:p>
    <w:p>
      <w:pPr>
        <w:ind w:left="5672" w:firstLine="709"/>
        <w:jc w:val="both"/>
        <w:spacing w:after="0" w:line="17" w:lineRule="atLeast"/>
        <w:rPr>
          <w:rFonts w:ascii="Tinos" w:hAnsi="Tinos" w:cs="Tinos"/>
          <w:sz w:val="20"/>
          <w:szCs w:val="20"/>
        </w:rPr>
      </w:pPr>
      <w:r>
        <w:rPr>
          <w:rFonts w:ascii="Tinos" w:hAnsi="Tinos" w:eastAsia="Tinos" w:cs="Tinos"/>
          <w:sz w:val="20"/>
          <w:szCs w:val="20"/>
          <w:lang w:eastAsia="ru-RU"/>
        </w:rPr>
        <w:t xml:space="preserve">от "____"________20__ г.</w:t>
      </w:r>
      <w:bookmarkEnd w:id="3"/>
      <w:r/>
      <w:r>
        <w:rPr>
          <w:rFonts w:ascii="Tinos" w:hAnsi="Tinos" w:cs="Tinos"/>
          <w:sz w:val="20"/>
          <w:szCs w:val="20"/>
        </w:rPr>
      </w:r>
    </w:p>
    <w:p>
      <w:pPr>
        <w:jc w:val="both"/>
        <w:keepNext/>
        <w:spacing w:after="0" w:line="17" w:lineRule="atLeast"/>
        <w:rPr>
          <w:rFonts w:ascii="Tinos" w:hAnsi="Tinos" w:cs="Tinos"/>
          <w:b/>
          <w:sz w:val="20"/>
          <w:szCs w:val="20"/>
        </w:rPr>
      </w:pPr>
      <w:r/>
      <w:bookmarkStart w:id="4" w:name="_Ref276562987"/>
      <w:r>
        <w:rPr>
          <w:rFonts w:ascii="Tinos" w:hAnsi="Tinos" w:eastAsia="Tinos" w:cs="Tinos"/>
          <w:b/>
          <w:sz w:val="20"/>
          <w:szCs w:val="20"/>
          <w:lang w:eastAsia="ru-RU"/>
        </w:rPr>
        <w:t xml:space="preserve">СО 6.1461/0</w:t>
      </w:r>
      <w:r>
        <w:rPr>
          <w:rFonts w:ascii="Tinos" w:hAnsi="Tinos" w:cs="Tinos"/>
          <w:b/>
          <w:sz w:val="20"/>
          <w:szCs w:val="20"/>
        </w:rPr>
      </w:r>
    </w:p>
    <w:p>
      <w:pPr>
        <w:ind w:firstLine="709"/>
        <w:jc w:val="both"/>
        <w:keepNext/>
        <w:spacing w:after="0" w:line="17" w:lineRule="atLeast"/>
        <w:rPr>
          <w:rFonts w:ascii="Tinos" w:hAnsi="Tinos" w:cs="Tinos"/>
          <w:b/>
          <w:bCs/>
          <w:smallCaps/>
          <w:sz w:val="20"/>
          <w:szCs w:val="20"/>
        </w:rPr>
      </w:pPr>
      <w:r>
        <w:rPr>
          <w:rFonts w:ascii="Tinos" w:hAnsi="Tinos" w:cs="Tinos"/>
          <w:b/>
          <w:bCs/>
          <w:smallCaps/>
          <w:sz w:val="20"/>
          <w:szCs w:val="20"/>
        </w:rPr>
      </w:r>
      <w:r>
        <w:rPr>
          <w:rFonts w:ascii="Tinos" w:hAnsi="Tinos" w:cs="Tinos"/>
          <w:b/>
          <w:bCs/>
          <w:smallCaps/>
          <w:sz w:val="20"/>
          <w:szCs w:val="20"/>
        </w:rPr>
      </w:r>
    </w:p>
    <w:p>
      <w:pPr>
        <w:jc w:val="center"/>
        <w:keepNext/>
        <w:spacing w:after="0" w:line="17" w:lineRule="atLeast"/>
        <w:widowControl w:val="off"/>
        <w:tabs>
          <w:tab w:val="left" w:pos="0" w:leader="none"/>
          <w:tab w:val="num" w:pos="1134" w:leader="none"/>
        </w:tabs>
        <w:rPr>
          <w:rFonts w:ascii="Tinos" w:hAnsi="Tinos" w:cs="Tinos"/>
          <w:b/>
        </w:rPr>
        <w:outlineLvl w:val="1"/>
      </w:pPr>
      <w:r>
        <w:rPr>
          <w:rFonts w:ascii="Tinos" w:hAnsi="Tinos" w:eastAsia="Tinos" w:cs="Tinos"/>
          <w:b/>
          <w:lang w:eastAsia="ru-RU"/>
        </w:rPr>
        <w:t xml:space="preserve">Согласие на обработку персональных данных участника закупочной процедуры</w:t>
      </w:r>
      <w:r>
        <w:rPr>
          <w:rFonts w:ascii="Tinos" w:hAnsi="Tinos" w:cs="Tinos"/>
          <w:b/>
        </w:rPr>
      </w:r>
    </w:p>
    <w:p>
      <w:pPr>
        <w:jc w:val="center"/>
        <w:keepNext/>
        <w:spacing w:after="0" w:line="17" w:lineRule="atLeast"/>
        <w:widowControl w:val="off"/>
        <w:tabs>
          <w:tab w:val="left" w:pos="0" w:leader="none"/>
        </w:tabs>
        <w:rPr>
          <w:rFonts w:ascii="Tinos" w:hAnsi="Tinos" w:cs="Tinos"/>
          <w:b/>
          <w:sz w:val="20"/>
          <w:szCs w:val="20"/>
        </w:rPr>
      </w:pPr>
      <w:r>
        <w:rPr>
          <w:rFonts w:ascii="Tinos" w:hAnsi="Tinos" w:eastAsia="Tinos" w:cs="Tinos"/>
          <w:b/>
          <w:lang w:eastAsia="ru-RU"/>
        </w:rPr>
        <w:t xml:space="preserve">от «_____» ____________ 20____ г.</w:t>
      </w:r>
      <w:r>
        <w:rPr>
          <w:rFonts w:ascii="Tinos" w:hAnsi="Tinos" w:cs="Tinos"/>
          <w:b/>
          <w:sz w:val="20"/>
          <w:szCs w:val="20"/>
        </w:rPr>
      </w:r>
    </w:p>
    <w:p>
      <w:pPr>
        <w:jc w:val="both"/>
        <w:keepNext/>
        <w:spacing w:after="0" w:line="17" w:lineRule="atLeast"/>
        <w:widowControl w:val="off"/>
        <w:rPr>
          <w:rFonts w:ascii="Tinos" w:hAnsi="Tinos" w:cs="Tinos"/>
          <w:sz w:val="20"/>
          <w:szCs w:val="20"/>
        </w:rPr>
      </w:pPr>
      <w:r>
        <w:rPr>
          <w:rFonts w:ascii="Tinos" w:hAnsi="Tinos" w:cs="Tinos"/>
          <w:sz w:val="20"/>
          <w:szCs w:val="20"/>
        </w:rPr>
      </w:r>
      <w:r>
        <w:rPr>
          <w:rFonts w:ascii="Tinos" w:hAnsi="Tinos" w:cs="Tinos"/>
          <w:sz w:val="20"/>
          <w:szCs w:val="20"/>
        </w:rPr>
      </w:r>
    </w:p>
    <w:p>
      <w:pPr>
        <w:jc w:val="both"/>
        <w:keepNext/>
        <w:spacing w:after="0" w:line="17" w:lineRule="atLeast"/>
        <w:widowControl w:val="off"/>
        <w:rPr>
          <w:rFonts w:ascii="Tinos" w:hAnsi="Tinos" w:cs="Tinos"/>
          <w:sz w:val="20"/>
          <w:szCs w:val="20"/>
        </w:rPr>
      </w:pPr>
      <w:r>
        <w:rPr>
          <w:rFonts w:ascii="Tinos" w:hAnsi="Tinos" w:eastAsia="Tinos" w:cs="Tinos"/>
          <w:sz w:val="20"/>
          <w:szCs w:val="20"/>
          <w:lang w:eastAsia="ru-RU"/>
        </w:rPr>
        <w:t xml:space="preserve">Настоящим, ________________________________________________________,</w:t>
      </w:r>
      <w:r>
        <w:rPr>
          <w:rFonts w:ascii="Tinos" w:hAnsi="Tinos" w:cs="Tinos"/>
          <w:sz w:val="20"/>
          <w:szCs w:val="20"/>
        </w:rPr>
      </w:r>
    </w:p>
    <w:p>
      <w:pPr>
        <w:jc w:val="center"/>
        <w:keepNext/>
        <w:spacing w:after="0" w:line="17" w:lineRule="atLeast"/>
        <w:widowControl w:val="off"/>
        <w:rPr>
          <w:rFonts w:ascii="Tinos" w:hAnsi="Tinos" w:cs="Tinos"/>
          <w:b/>
          <w:i/>
          <w:sz w:val="20"/>
          <w:szCs w:val="20"/>
        </w:rPr>
        <w:pBdr>
          <w:bottom w:val="single" w:color="000000" w:sz="12" w:space="1"/>
        </w:pBdr>
      </w:pPr>
      <w:r>
        <w:rPr>
          <w:rFonts w:ascii="Tinos" w:hAnsi="Tinos" w:eastAsia="Tinos" w:cs="Tinos"/>
          <w:b/>
          <w:i/>
          <w:sz w:val="20"/>
          <w:szCs w:val="20"/>
          <w:lang w:eastAsia="ru-RU"/>
        </w:rPr>
        <w:t xml:space="preserve">(указывается</w:t>
      </w:r>
      <w:r>
        <w:rPr>
          <w:rFonts w:ascii="Tinos" w:hAnsi="Tinos" w:eastAsia="Tinos" w:cs="Tinos"/>
          <w:sz w:val="20"/>
          <w:szCs w:val="20"/>
          <w:lang w:eastAsia="ru-RU"/>
        </w:rPr>
        <w:t xml:space="preserve"> </w:t>
      </w:r>
      <w:r>
        <w:rPr>
          <w:rFonts w:ascii="Tinos" w:hAnsi="Tinos" w:eastAsia="Tinos" w:cs="Tinos"/>
          <w:b/>
          <w:i/>
          <w:sz w:val="20"/>
          <w:szCs w:val="20"/>
          <w:lang w:eastAsia="ru-RU"/>
        </w:rPr>
        <w:t xml:space="preserve">полное наименование участника закупочной процедуры</w:t>
      </w:r>
      <w:r>
        <w:rPr>
          <w:rFonts w:ascii="Tinos" w:hAnsi="Tinos" w:cs="Tinos"/>
          <w:b/>
          <w:i/>
          <w:sz w:val="20"/>
          <w:szCs w:val="20"/>
        </w:rPr>
      </w:r>
    </w:p>
    <w:p>
      <w:pPr>
        <w:jc w:val="center"/>
        <w:keepNext/>
        <w:spacing w:after="0" w:line="17" w:lineRule="atLeast"/>
        <w:widowControl w:val="off"/>
        <w:rPr>
          <w:rFonts w:ascii="Tinos" w:hAnsi="Tinos" w:cs="Tinos"/>
          <w:sz w:val="20"/>
          <w:szCs w:val="20"/>
        </w:rPr>
      </w:pPr>
      <w:r>
        <w:rPr>
          <w:rFonts w:ascii="Tinos" w:hAnsi="Tinos" w:eastAsia="Tinos" w:cs="Tinos"/>
          <w:b/>
          <w:i/>
          <w:sz w:val="20"/>
          <w:szCs w:val="20"/>
          <w:lang w:eastAsia="ru-RU"/>
        </w:rPr>
        <w:t xml:space="preserve">(потенциального контрагента), контрагента)</w:t>
      </w:r>
      <w:r>
        <w:rPr>
          <w:rFonts w:ascii="Tinos" w:hAnsi="Tinos" w:cs="Tinos"/>
          <w:sz w:val="20"/>
          <w:szCs w:val="20"/>
        </w:rPr>
      </w:r>
    </w:p>
    <w:p>
      <w:pPr>
        <w:keepNext/>
        <w:spacing w:after="0" w:line="17" w:lineRule="atLeast"/>
        <w:widowControl w:val="off"/>
        <w:rPr>
          <w:rFonts w:ascii="Tinos" w:hAnsi="Tinos" w:cs="Tinos"/>
          <w:sz w:val="20"/>
          <w:szCs w:val="20"/>
        </w:rPr>
      </w:pPr>
      <w:r>
        <w:rPr>
          <w:rFonts w:ascii="Tinos" w:hAnsi="Tinos" w:eastAsia="Tinos" w:cs="Tinos"/>
          <w:sz w:val="20"/>
          <w:szCs w:val="20"/>
          <w:lang w:eastAsia="ru-RU"/>
        </w:rPr>
        <w:t xml:space="preserve">Адрес регистрации: _______________________________________________________,</w:t>
      </w:r>
      <w:r>
        <w:rPr>
          <w:rFonts w:ascii="Tinos" w:hAnsi="Tinos" w:cs="Tinos"/>
          <w:sz w:val="20"/>
          <w:szCs w:val="20"/>
        </w:rPr>
      </w:r>
    </w:p>
    <w:p>
      <w:pPr>
        <w:keepNext/>
        <w:spacing w:after="0" w:line="17" w:lineRule="atLeast"/>
        <w:widowControl w:val="off"/>
        <w:rPr>
          <w:rFonts w:ascii="Tinos" w:hAnsi="Tinos" w:cs="Tinos"/>
          <w:b/>
          <w:i/>
          <w:sz w:val="20"/>
          <w:szCs w:val="20"/>
        </w:rPr>
      </w:pPr>
      <w:r>
        <w:rPr>
          <w:rFonts w:ascii="Tinos" w:hAnsi="Tinos" w:eastAsia="Tinos" w:cs="Tinos"/>
          <w:sz w:val="20"/>
          <w:szCs w:val="20"/>
          <w:lang w:eastAsia="ru-RU"/>
        </w:rPr>
        <w:t xml:space="preserve">Свид</w:t>
      </w:r>
      <w:r>
        <w:rPr>
          <w:rFonts w:ascii="Tinos" w:hAnsi="Tinos" w:eastAsia="Tinos" w:cs="Tinos"/>
          <w:sz w:val="20"/>
          <w:szCs w:val="20"/>
          <w:lang w:eastAsia="ru-RU"/>
        </w:rPr>
        <w:t xml:space="preserve">етельство о регистрации: ______________________________________________ </w:t>
      </w:r>
      <w:r>
        <w:rPr>
          <w:rFonts w:ascii="Tinos" w:hAnsi="Tinos" w:eastAsia="Tinos" w:cs="Tinos"/>
          <w:b/>
          <w:i/>
          <w:sz w:val="20"/>
          <w:szCs w:val="20"/>
          <w:lang w:eastAsia="ru-RU"/>
        </w:rPr>
        <w:t xml:space="preserve">ИНН__________________________</w:t>
      </w:r>
      <w:r>
        <w:rPr>
          <w:rFonts w:ascii="Tinos" w:hAnsi="Tinos" w:cs="Tinos"/>
          <w:b/>
          <w:i/>
          <w:sz w:val="20"/>
          <w:szCs w:val="20"/>
        </w:rPr>
      </w:r>
    </w:p>
    <w:p>
      <w:pPr>
        <w:keepNext/>
        <w:spacing w:after="0" w:line="17" w:lineRule="atLeast"/>
        <w:widowControl w:val="off"/>
        <w:rPr>
          <w:rFonts w:ascii="Tinos" w:hAnsi="Tinos" w:cs="Tinos"/>
          <w:b/>
          <w:i/>
          <w:sz w:val="20"/>
          <w:szCs w:val="20"/>
        </w:rPr>
      </w:pPr>
      <w:r>
        <w:rPr>
          <w:rFonts w:ascii="Tinos" w:hAnsi="Tinos" w:eastAsia="Tinos" w:cs="Tinos"/>
          <w:b/>
          <w:i/>
          <w:sz w:val="20"/>
          <w:szCs w:val="20"/>
          <w:lang w:eastAsia="ru-RU"/>
        </w:rPr>
        <w:t xml:space="preserve">КПП__________________________</w:t>
      </w:r>
      <w:r>
        <w:rPr>
          <w:rFonts w:ascii="Tinos" w:hAnsi="Tinos" w:cs="Tinos"/>
          <w:b/>
          <w:i/>
          <w:sz w:val="20"/>
          <w:szCs w:val="20"/>
        </w:rPr>
      </w:r>
    </w:p>
    <w:p>
      <w:pPr>
        <w:keepNext/>
        <w:spacing w:after="0" w:line="17" w:lineRule="atLeast"/>
        <w:widowControl w:val="off"/>
        <w:rPr>
          <w:rFonts w:ascii="Tinos" w:hAnsi="Tinos" w:cs="Tinos"/>
          <w:sz w:val="20"/>
          <w:szCs w:val="20"/>
        </w:rPr>
      </w:pPr>
      <w:r>
        <w:rPr>
          <w:rFonts w:ascii="Tinos" w:hAnsi="Tinos" w:eastAsia="Tinos" w:cs="Tinos"/>
          <w:b/>
          <w:i/>
          <w:sz w:val="20"/>
          <w:szCs w:val="20"/>
          <w:lang w:eastAsia="ru-RU"/>
        </w:rPr>
        <w:t xml:space="preserve">ОГРН_________________________</w:t>
      </w:r>
      <w:r>
        <w:rPr>
          <w:rFonts w:ascii="Tinos" w:hAnsi="Tinos" w:eastAsia="Tinos" w:cs="Tinos"/>
          <w:sz w:val="20"/>
          <w:szCs w:val="20"/>
          <w:lang w:eastAsia="ru-RU"/>
        </w:rPr>
        <w:t xml:space="preserve">,</w:t>
      </w:r>
      <w:r>
        <w:rPr>
          <w:rFonts w:ascii="Tinos" w:hAnsi="Tinos" w:cs="Tinos"/>
          <w:sz w:val="20"/>
          <w:szCs w:val="20"/>
        </w:rPr>
      </w:r>
    </w:p>
    <w:p>
      <w:pPr>
        <w:keepNext/>
        <w:spacing w:after="0" w:line="17" w:lineRule="atLeast"/>
        <w:widowControl w:val="off"/>
        <w:rPr>
          <w:rFonts w:ascii="Tinos" w:hAnsi="Tinos" w:cs="Tinos"/>
          <w:b/>
          <w:i/>
          <w:sz w:val="20"/>
          <w:szCs w:val="20"/>
        </w:rPr>
      </w:pPr>
      <w:r>
        <w:rPr>
          <w:rFonts w:ascii="Tinos" w:hAnsi="Tinos" w:eastAsia="Tinos" w:cs="Tinos"/>
          <w:sz w:val="20"/>
          <w:szCs w:val="20"/>
          <w:lang w:eastAsia="ru-RU"/>
        </w:rPr>
        <w:t xml:space="preserve">в лице</w:t>
      </w:r>
      <w:r>
        <w:rPr>
          <w:rFonts w:ascii="Tinos" w:hAnsi="Tinos" w:eastAsia="Tinos" w:cs="Tinos"/>
          <w:b/>
          <w:i/>
          <w:sz w:val="20"/>
          <w:szCs w:val="20"/>
          <w:lang w:eastAsia="ru-RU"/>
        </w:rPr>
        <w:t xml:space="preserve"> ___________________________________________________________________</w:t>
      </w:r>
      <w:r>
        <w:rPr>
          <w:rFonts w:ascii="Tinos" w:hAnsi="Tinos" w:cs="Tinos"/>
          <w:b/>
          <w:i/>
          <w:sz w:val="20"/>
          <w:szCs w:val="20"/>
        </w:rPr>
      </w:r>
    </w:p>
    <w:p>
      <w:pPr>
        <w:keepNext/>
        <w:spacing w:after="0" w:line="17" w:lineRule="atLeast"/>
        <w:rPr>
          <w:rFonts w:ascii="Tinos" w:hAnsi="Tinos" w:cs="Tinos"/>
          <w:b/>
          <w:bCs/>
          <w:i/>
          <w:iCs/>
          <w:sz w:val="20"/>
          <w:szCs w:val="20"/>
        </w:rPr>
      </w:pPr>
      <w:r>
        <w:rPr>
          <w:rFonts w:ascii="Tinos" w:hAnsi="Tinos" w:eastAsia="Tinos" w:cs="Tinos"/>
          <w:b/>
          <w:i/>
          <w:sz w:val="20"/>
          <w:szCs w:val="20"/>
          <w:lang w:eastAsia="ru-RU"/>
        </w:rPr>
        <w:t xml:space="preserve">(указывается Ф.И.О</w:t>
      </w:r>
      <w:r>
        <w:rPr>
          <w:rFonts w:ascii="Tinos" w:hAnsi="Tinos" w:eastAsia="Tinos" w:cs="Tinos"/>
          <w:b/>
          <w:i/>
          <w:sz w:val="20"/>
          <w:szCs w:val="20"/>
          <w:lang w:eastAsia="ru-RU"/>
        </w:rPr>
        <w:t xml:space="preserve">.,</w:t>
      </w:r>
      <w:r>
        <w:rPr>
          <w:rFonts w:ascii="Tinos" w:hAnsi="Tinos" w:eastAsia="Tinos" w:cs="Tinos"/>
          <w:b/>
          <w:bCs/>
          <w:i/>
          <w:iCs/>
          <w:sz w:val="20"/>
          <w:szCs w:val="20"/>
          <w:lang w:eastAsia="ru-RU"/>
        </w:rPr>
        <w:t xml:space="preserve"> адрес, номер основного документа, удостоверяющего его личность,</w:t>
      </w:r>
      <w:r>
        <w:rPr>
          <w:rFonts w:ascii="Tinos" w:hAnsi="Tinos" w:cs="Tinos"/>
          <w:b/>
          <w:bCs/>
          <w:i/>
          <w:iCs/>
          <w:sz w:val="20"/>
          <w:szCs w:val="20"/>
        </w:rPr>
      </w:r>
    </w:p>
    <w:p>
      <w:pPr>
        <w:keepNext/>
        <w:spacing w:after="0" w:line="17" w:lineRule="atLeast"/>
        <w:rPr>
          <w:rFonts w:ascii="Tinos" w:hAnsi="Tinos" w:cs="Tinos"/>
          <w:sz w:val="20"/>
          <w:szCs w:val="20"/>
        </w:rPr>
      </w:pPr>
      <w:r>
        <w:rPr>
          <w:rFonts w:ascii="Tinos" w:hAnsi="Tinos" w:eastAsia="Tinos" w:cs="Tinos"/>
          <w:b/>
          <w:bCs/>
          <w:i/>
          <w:iCs/>
          <w:sz w:val="20"/>
          <w:szCs w:val="20"/>
          <w:lang w:eastAsia="ru-RU"/>
        </w:rPr>
        <w:t xml:space="preserve">________________________________________________________________________________,</w:t>
      </w:r>
      <w:r>
        <w:rPr>
          <w:rFonts w:ascii="Tinos" w:hAnsi="Tinos" w:cs="Tinos"/>
          <w:sz w:val="20"/>
          <w:szCs w:val="20"/>
        </w:rPr>
      </w:r>
    </w:p>
    <w:p>
      <w:pPr>
        <w:keepNext/>
        <w:spacing w:after="0" w:line="17" w:lineRule="atLeast"/>
        <w:rPr>
          <w:rFonts w:ascii="Tinos" w:hAnsi="Tinos" w:cs="Tinos"/>
          <w:b/>
          <w:bCs/>
          <w:i/>
          <w:iCs/>
          <w:sz w:val="20"/>
          <w:szCs w:val="20"/>
        </w:rPr>
      </w:pPr>
      <w:r>
        <w:rPr>
          <w:rFonts w:ascii="Tinos" w:hAnsi="Tinos" w:eastAsia="Tinos" w:cs="Tinos"/>
          <w:b/>
          <w:bCs/>
          <w:i/>
          <w:iCs/>
          <w:sz w:val="20"/>
          <w:szCs w:val="20"/>
          <w:lang w:eastAsia="ru-RU"/>
        </w:rPr>
        <w:t xml:space="preserve">сведения о дате выдачи указанного документа и выдавшем его органе) *</w:t>
      </w:r>
      <w:r>
        <w:rPr>
          <w:rFonts w:ascii="Tinos" w:hAnsi="Tinos" w:cs="Tinos"/>
          <w:b/>
          <w:bCs/>
          <w:i/>
          <w:iCs/>
          <w:sz w:val="20"/>
          <w:szCs w:val="20"/>
        </w:rPr>
      </w:r>
    </w:p>
    <w:p>
      <w:pPr>
        <w:jc w:val="both"/>
        <w:keepNext/>
        <w:spacing w:after="0" w:line="17" w:lineRule="atLeast"/>
        <w:widowControl w:val="off"/>
        <w:rPr>
          <w:rFonts w:ascii="Tinos" w:hAnsi="Tinos" w:cs="Tinos"/>
          <w:sz w:val="20"/>
          <w:szCs w:val="20"/>
        </w:rPr>
      </w:pPr>
      <w:r>
        <w:rPr>
          <w:rFonts w:ascii="Tinos" w:hAnsi="Tinos" w:eastAsia="Tinos" w:cs="Tinos"/>
          <w:b/>
          <w:i/>
          <w:sz w:val="20"/>
          <w:szCs w:val="20"/>
          <w:lang w:eastAsia="ru-RU"/>
        </w:rPr>
        <w:t xml:space="preserve">действующего на основании __________</w:t>
      </w:r>
      <w:r>
        <w:rPr>
          <w:rFonts w:ascii="Tinos" w:hAnsi="Tinos" w:eastAsia="Tinos" w:cs="Tinos"/>
          <w:i/>
          <w:sz w:val="20"/>
          <w:szCs w:val="20"/>
          <w:lang w:eastAsia="ru-RU"/>
        </w:rPr>
        <w:t xml:space="preserve">,</w:t>
      </w:r>
      <w:r>
        <w:rPr>
          <w:rFonts w:ascii="Tinos" w:hAnsi="Tinos" w:eastAsia="Tinos" w:cs="Tinos"/>
          <w:b/>
          <w:i/>
          <w:sz w:val="20"/>
          <w:szCs w:val="20"/>
          <w:lang w:eastAsia="ru-RU"/>
        </w:rPr>
        <w:t xml:space="preserve"> </w:t>
      </w:r>
      <w:r>
        <w:rPr>
          <w:rFonts w:ascii="Tinos" w:hAnsi="Tinos" w:eastAsia="Tinos" w:cs="Tinos"/>
          <w:sz w:val="20"/>
          <w:szCs w:val="20"/>
          <w:lang w:eastAsia="ru-RU"/>
        </w:rPr>
        <w:t xml:space="preserve">дает свое согласие АО «Россети Сибирь Тываэнерго» зарегистрированному по адресу: 667001, Республика Тыва, г. Кызыл, ул. Рабочая, 4  </w:t>
      </w:r>
      <w:r>
        <w:rPr>
          <w:rFonts w:ascii="Tinos" w:hAnsi="Tinos" w:eastAsia="Tinos" w:cs="Tinos"/>
          <w:b/>
          <w:sz w:val="20"/>
          <w:szCs w:val="20"/>
          <w:lang w:eastAsia="ru-RU"/>
        </w:rPr>
        <w:t xml:space="preserve">Публичному акционерному обществу   «Россети Сибирь»</w:t>
      </w:r>
      <w:r>
        <w:rPr>
          <w:rFonts w:ascii="Tinos" w:hAnsi="Tinos" w:eastAsia="Tinos" w:cs="Tinos"/>
          <w:sz w:val="20"/>
          <w:szCs w:val="20"/>
          <w:lang w:eastAsia="ru-RU"/>
        </w:rPr>
        <w:t xml:space="preserve">, зарегистрированному по адресу: г. Красноярск, ул. Бограда 144 А,</w:t>
      </w:r>
      <w:r>
        <w:rPr>
          <w:rFonts w:ascii="Tinos" w:hAnsi="Tinos" w:eastAsia="Tinos" w:cs="Tinos"/>
          <w:b/>
          <w:i/>
          <w:sz w:val="20"/>
          <w:szCs w:val="20"/>
          <w:lang w:eastAsia="ru-RU"/>
        </w:rPr>
        <w:t xml:space="preserve"> </w:t>
      </w:r>
      <w:r>
        <w:rPr>
          <w:rFonts w:ascii="Tinos" w:hAnsi="Tinos" w:eastAsia="Tinos" w:cs="Tinos"/>
          <w:sz w:val="20"/>
          <w:szCs w:val="20"/>
          <w:lang w:eastAsia="ru-RU"/>
        </w:rPr>
        <w:t xml:space="preserve">и</w:t>
      </w:r>
      <w:r>
        <w:rPr>
          <w:rFonts w:ascii="Tinos" w:hAnsi="Tinos" w:eastAsia="Tinos" w:cs="Tinos"/>
          <w:i/>
          <w:sz w:val="20"/>
          <w:szCs w:val="20"/>
          <w:lang w:eastAsia="ru-RU"/>
        </w:rPr>
        <w:t xml:space="preserve"> </w:t>
      </w:r>
      <w:r>
        <w:rPr>
          <w:rFonts w:ascii="Tinos" w:hAnsi="Tinos" w:eastAsia="Tinos" w:cs="Tinos"/>
          <w:b/>
          <w:sz w:val="20"/>
          <w:szCs w:val="20"/>
          <w:lang w:eastAsia="ru-RU"/>
        </w:rPr>
        <w:t xml:space="preserve">Публ</w:t>
      </w:r>
      <w:r>
        <w:rPr>
          <w:rFonts w:ascii="Tinos" w:hAnsi="Tinos" w:eastAsia="Tinos" w:cs="Tinos"/>
          <w:b/>
          <w:sz w:val="20"/>
          <w:szCs w:val="20"/>
          <w:lang w:eastAsia="ru-RU"/>
        </w:rPr>
        <w:t xml:space="preserve">ичному акционерному обществу  «Российские сети»</w:t>
      </w:r>
      <w:r>
        <w:rPr>
          <w:rFonts w:ascii="Tinos" w:hAnsi="Tinos" w:eastAsia="Tinos" w:cs="Tinos"/>
          <w:sz w:val="20"/>
          <w:szCs w:val="20"/>
          <w:lang w:eastAsia="ru-RU"/>
        </w:rPr>
        <w:t xml:space="preserve">, зарегистрированному по адресу: </w:t>
      </w:r>
      <w:r>
        <w:rPr>
          <w:rFonts w:ascii="Tinos" w:hAnsi="Tinos" w:eastAsia="Tinos" w:cs="Tinos"/>
          <w:sz w:val="20"/>
          <w:szCs w:val="20"/>
          <w:lang w:eastAsia="ru-RU"/>
        </w:rPr>
        <w:br/>
        <w:t xml:space="preserve">г. Москва, ул. Беловежская, 4, в отношении следующего перечня персональных данных руководителей и собственников (участников, учредителей, акционеров), </w:t>
      </w:r>
      <w:r>
        <w:rPr>
          <w:rFonts w:ascii="Tinos" w:hAnsi="Tinos" w:eastAsia="Tinos" w:cs="Tinos"/>
          <w:sz w:val="20"/>
          <w:szCs w:val="20"/>
          <w:lang w:eastAsia="ru-RU"/>
        </w:rPr>
        <w:br/>
        <w:t xml:space="preserve">в том числе конечных бе</w:t>
      </w:r>
      <w:r>
        <w:rPr>
          <w:rFonts w:ascii="Tinos" w:hAnsi="Tinos" w:eastAsia="Tinos" w:cs="Tinos"/>
          <w:sz w:val="20"/>
          <w:szCs w:val="20"/>
          <w:lang w:eastAsia="ru-RU"/>
        </w:rPr>
        <w:t xml:space="preserve">нефициаров, участника закупки (потенциального контрагента)/ контрагента/ планируемых к привлечению субконтрагентов: фамилия имя отчество, серия и номер документа, удостоверяющего личность, сведения о дате выдачи указанного документа и выдавшем его органе, </w:t>
      </w:r>
      <w:r>
        <w:rPr>
          <w:rFonts w:ascii="Tinos" w:hAnsi="Tinos" w:eastAsia="Tinos" w:cs="Tinos"/>
          <w:sz w:val="20"/>
          <w:szCs w:val="20"/>
          <w:lang w:eastAsia="ru-RU"/>
        </w:rPr>
        <w:t xml:space="preserve">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w:t>
      </w:r>
      <w:r>
        <w:rPr>
          <w:rFonts w:ascii="Tinos" w:hAnsi="Tinos" w:eastAsia="Tinos" w:cs="Tinos"/>
          <w:sz w:val="20"/>
          <w:szCs w:val="20"/>
          <w:lang w:eastAsia="ru-RU"/>
        </w:rPr>
        <w:br/>
        <w:t xml:space="preserve">а также на представление указанной информации в уполномоченные государственные</w:t>
      </w:r>
      <w:r>
        <w:rPr>
          <w:rFonts w:ascii="Tinos" w:hAnsi="Tinos" w:eastAsia="Tinos" w:cs="Tinos"/>
          <w:sz w:val="20"/>
          <w:szCs w:val="20"/>
          <w:lang w:eastAsia="ru-RU"/>
        </w:rPr>
        <w:t xml:space="preserve">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w:t>
      </w:r>
      <w:r>
        <w:rPr>
          <w:rFonts w:ascii="Tinos" w:hAnsi="Tinos" w:eastAsia="Tinos" w:cs="Tinos"/>
          <w:sz w:val="20"/>
          <w:szCs w:val="20"/>
          <w:lang w:eastAsia="ru-RU"/>
        </w:rPr>
        <w:br/>
        <w:t xml:space="preserve">и бенефициаров.***</w:t>
      </w:r>
      <w:r>
        <w:rPr>
          <w:rFonts w:ascii="Tinos" w:hAnsi="Tinos" w:cs="Tinos"/>
          <w:sz w:val="20"/>
          <w:szCs w:val="20"/>
        </w:rPr>
      </w:r>
    </w:p>
    <w:p>
      <w:pPr>
        <w:jc w:val="both"/>
        <w:keepNext/>
        <w:spacing w:after="0" w:line="17" w:lineRule="atLeast"/>
        <w:widowControl w:val="off"/>
        <w:rPr>
          <w:rFonts w:ascii="Tinos" w:hAnsi="Tinos" w:cs="Tinos"/>
          <w:sz w:val="20"/>
          <w:szCs w:val="20"/>
        </w:rPr>
      </w:pPr>
      <w:r>
        <w:rPr>
          <w:rFonts w:ascii="Tinos" w:hAnsi="Tinos" w:eastAsia="Tinos" w:cs="Tinos"/>
          <w:sz w:val="20"/>
          <w:szCs w:val="20"/>
          <w:lang w:eastAsia="ru-RU"/>
        </w:rPr>
        <w:t xml:space="preserve">Цель обработки персональных данных: о</w:t>
      </w:r>
      <w:r>
        <w:rPr>
          <w:rFonts w:ascii="Tinos" w:hAnsi="Tinos" w:eastAsia="Tinos" w:cs="Tinos"/>
          <w:sz w:val="20"/>
          <w:szCs w:val="20"/>
          <w:lang w:eastAsia="ru-RU"/>
        </w:rPr>
        <w:t xml:space="preserve">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w:t>
      </w:r>
      <w:r>
        <w:rPr>
          <w:rFonts w:ascii="Tinos" w:hAnsi="Tinos" w:eastAsia="Tinos" w:cs="Tinos"/>
          <w:sz w:val="20"/>
          <w:szCs w:val="20"/>
          <w:lang w:eastAsia="ru-RU"/>
        </w:rPr>
        <w:br/>
        <w:t xml:space="preserve">от 28.12.2011 № ВП-П13-9308</w:t>
      </w:r>
      <w:r>
        <w:rPr>
          <w:rFonts w:ascii="Tinos" w:hAnsi="Tinos" w:eastAsia="Tinos" w:cs="Tinos"/>
          <w:sz w:val="20"/>
          <w:szCs w:val="20"/>
          <w:lang w:eastAsia="ru-RU"/>
        </w:rPr>
        <w:t xml:space="preserve">,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w:t>
      </w:r>
      <w:r>
        <w:rPr>
          <w:rFonts w:ascii="Tinos" w:hAnsi="Tinos" w:eastAsia="Tinos" w:cs="Tinos"/>
          <w:sz w:val="20"/>
          <w:szCs w:val="20"/>
          <w:lang w:eastAsia="ru-RU"/>
        </w:rPr>
        <w:br/>
        <w:t xml:space="preserve">а также связанных с ними иных поручений Правительства</w:t>
      </w:r>
      <w:r>
        <w:rPr>
          <w:rFonts w:ascii="Tinos" w:hAnsi="Tinos" w:eastAsia="Tinos" w:cs="Tinos"/>
          <w:sz w:val="20"/>
          <w:szCs w:val="20"/>
          <w:lang w:eastAsia="ru-RU"/>
        </w:rPr>
        <w:t xml:space="preserve"> Российской Федерации </w:t>
      </w:r>
      <w:r>
        <w:rPr>
          <w:rFonts w:ascii="Tinos" w:hAnsi="Tinos" w:eastAsia="Tinos" w:cs="Tinos"/>
          <w:sz w:val="20"/>
          <w:szCs w:val="20"/>
          <w:lang w:eastAsia="ru-RU"/>
        </w:rPr>
        <w:br/>
        <w:t xml:space="preserve">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r>
        <w:rPr>
          <w:rFonts w:ascii="Tinos" w:hAnsi="Tinos" w:cs="Tinos"/>
          <w:sz w:val="20"/>
          <w:szCs w:val="20"/>
        </w:rPr>
      </w:r>
    </w:p>
    <w:p>
      <w:pPr>
        <w:jc w:val="both"/>
        <w:keepNext/>
        <w:spacing w:after="0" w:line="17" w:lineRule="atLeast"/>
        <w:widowControl w:val="off"/>
        <w:rPr>
          <w:rFonts w:ascii="Tinos" w:hAnsi="Tinos" w:cs="Tinos"/>
          <w:color w:val="000000"/>
          <w:sz w:val="20"/>
          <w:szCs w:val="20"/>
        </w:rPr>
      </w:pPr>
      <w:r>
        <w:rPr>
          <w:rFonts w:ascii="Tinos" w:hAnsi="Tinos" w:eastAsia="Tinos" w:cs="Tinos"/>
          <w:sz w:val="20"/>
          <w:szCs w:val="20"/>
          <w:lang w:eastAsia="ru-RU"/>
        </w:rPr>
        <w:t xml:space="preserve">Срок, в течение которого действует настоящее согласие: со дня его подписания до мо</w:t>
      </w:r>
      <w:r>
        <w:rPr>
          <w:rFonts w:ascii="Tinos" w:hAnsi="Tinos" w:eastAsia="Tinos" w:cs="Tinos"/>
          <w:sz w:val="20"/>
          <w:szCs w:val="20"/>
          <w:lang w:eastAsia="ru-RU"/>
        </w:rPr>
        <w:t xml:space="preserve">мента фактического достижения цели обработки</w:t>
      </w:r>
      <w:r>
        <w:rPr>
          <w:rFonts w:ascii="Tinos" w:hAnsi="Tinos" w:eastAsia="Tinos" w:cs="Tinos"/>
          <w:color w:val="000000"/>
          <w:sz w:val="20"/>
          <w:szCs w:val="20"/>
          <w:lang w:eastAsia="ru-RU"/>
        </w:rPr>
        <w:t xml:space="preserve">,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r>
        <w:rPr>
          <w:rFonts w:ascii="Tinos" w:hAnsi="Tinos" w:cs="Tinos"/>
          <w:color w:val="000000"/>
          <w:sz w:val="20"/>
          <w:szCs w:val="20"/>
        </w:rPr>
      </w:r>
    </w:p>
    <w:p>
      <w:pPr>
        <w:ind w:firstLine="709"/>
        <w:jc w:val="both"/>
        <w:keepNext/>
        <w:spacing w:after="0" w:line="17" w:lineRule="atLeast"/>
        <w:widowControl w:val="off"/>
        <w:rPr>
          <w:rFonts w:ascii="Tinos" w:hAnsi="Tinos" w:cs="Tinos"/>
          <w:color w:val="000000"/>
          <w:sz w:val="20"/>
          <w:szCs w:val="20"/>
        </w:rPr>
      </w:pPr>
      <w:r>
        <w:rPr>
          <w:rFonts w:ascii="Tinos" w:hAnsi="Tinos" w:eastAsia="Tinos" w:cs="Tinos"/>
          <w:color w:val="000000"/>
          <w:sz w:val="20"/>
          <w:szCs w:val="20"/>
          <w:lang w:eastAsia="ru-RU"/>
        </w:rPr>
        <w:t xml:space="preserve">___________________________                         </w:t>
      </w:r>
      <w:r>
        <w:rPr>
          <w:rFonts w:ascii="Tinos" w:hAnsi="Tinos" w:eastAsia="Tinos" w:cs="Tinos"/>
          <w:color w:val="000000"/>
          <w:sz w:val="20"/>
          <w:szCs w:val="20"/>
          <w:lang w:eastAsia="ru-RU"/>
        </w:rPr>
        <w:t xml:space="preserve">        ___________________________</w:t>
      </w:r>
      <w:r>
        <w:rPr>
          <w:rFonts w:ascii="Tinos" w:hAnsi="Tinos" w:cs="Tinos"/>
          <w:color w:val="000000"/>
          <w:sz w:val="20"/>
          <w:szCs w:val="20"/>
        </w:rPr>
      </w:r>
    </w:p>
    <w:p>
      <w:pPr>
        <w:ind w:firstLine="709"/>
        <w:jc w:val="both"/>
        <w:keepNext/>
        <w:spacing w:after="0" w:line="17" w:lineRule="atLeast"/>
        <w:widowControl w:val="off"/>
        <w:rPr>
          <w:rFonts w:ascii="Tinos" w:hAnsi="Tinos" w:cs="Tinos"/>
          <w:sz w:val="20"/>
          <w:szCs w:val="20"/>
        </w:rPr>
      </w:pPr>
      <w:r>
        <w:rPr>
          <w:rFonts w:ascii="Tinos" w:hAnsi="Tinos" w:eastAsia="Tinos" w:cs="Tinos"/>
          <w:sz w:val="20"/>
          <w:szCs w:val="20"/>
          <w:lang w:eastAsia="ru-RU"/>
        </w:rPr>
        <w:t xml:space="preserve">(Подпись субъекта персональных данных/                                    (Ф.И.О. и должность подписавшего*)</w:t>
      </w:r>
      <w:r>
        <w:rPr>
          <w:rFonts w:ascii="Tinos" w:hAnsi="Tinos" w:cs="Tinos"/>
          <w:sz w:val="20"/>
          <w:szCs w:val="20"/>
        </w:rPr>
      </w:r>
    </w:p>
    <w:p>
      <w:pPr>
        <w:ind w:firstLine="709"/>
        <w:jc w:val="both"/>
        <w:keepNext/>
        <w:spacing w:after="0" w:line="17" w:lineRule="atLeast"/>
        <w:widowControl w:val="off"/>
        <w:rPr>
          <w:rFonts w:ascii="Tinos" w:hAnsi="Tinos" w:cs="Tinos"/>
          <w:sz w:val="20"/>
          <w:szCs w:val="20"/>
        </w:rPr>
      </w:pPr>
      <w:r>
        <w:rPr>
          <w:rFonts w:ascii="Tinos" w:hAnsi="Tinos" w:eastAsia="Tinos" w:cs="Tinos"/>
          <w:sz w:val="20"/>
          <w:szCs w:val="20"/>
          <w:lang w:eastAsia="ru-RU"/>
        </w:rPr>
        <w:t xml:space="preserve">уполномоченного представителя)                                                </w:t>
      </w:r>
      <w:r>
        <w:rPr>
          <w:rFonts w:ascii="Tinos" w:hAnsi="Tinos" w:cs="Tinos"/>
          <w:sz w:val="20"/>
          <w:szCs w:val="20"/>
        </w:rPr>
      </w:r>
    </w:p>
    <w:p>
      <w:pPr>
        <w:ind w:firstLine="709"/>
        <w:jc w:val="both"/>
        <w:keepNext/>
        <w:spacing w:after="0" w:line="17" w:lineRule="atLeast"/>
        <w:widowControl w:val="off"/>
        <w:rPr>
          <w:rFonts w:ascii="Tinos" w:hAnsi="Tinos" w:cs="Tinos"/>
          <w:b/>
          <w:bCs/>
          <w:sz w:val="20"/>
          <w:szCs w:val="20"/>
        </w:rPr>
      </w:pPr>
      <w:r>
        <w:rPr>
          <w:rFonts w:ascii="Tinos" w:hAnsi="Tinos" w:eastAsia="Tinos" w:cs="Tinos"/>
          <w:b/>
          <w:bCs/>
          <w:sz w:val="20"/>
          <w:szCs w:val="20"/>
          <w:lang w:eastAsia="ru-RU"/>
        </w:rPr>
        <w:t xml:space="preserve">М.П.</w:t>
      </w:r>
      <w:r>
        <w:rPr>
          <w:rFonts w:ascii="Tinos" w:hAnsi="Tinos" w:cs="Tinos"/>
          <w:b/>
          <w:bCs/>
          <w:sz w:val="20"/>
          <w:szCs w:val="20"/>
        </w:rPr>
      </w:r>
    </w:p>
    <w:p>
      <w:pPr>
        <w:ind w:firstLine="709"/>
        <w:jc w:val="both"/>
        <w:keepNext/>
        <w:spacing w:after="0" w:line="17" w:lineRule="atLeast"/>
        <w:widowControl w:val="off"/>
        <w:rPr>
          <w:rFonts w:ascii="Tinos" w:hAnsi="Tinos" w:cs="Tinos"/>
          <w:b/>
          <w:sz w:val="20"/>
          <w:szCs w:val="20"/>
        </w:rPr>
      </w:pPr>
      <w:r>
        <w:rPr>
          <w:rFonts w:ascii="Tinos" w:hAnsi="Tinos" w:eastAsia="Tinos" w:cs="Tinos"/>
          <w:sz w:val="20"/>
          <w:szCs w:val="20"/>
          <w:lang w:eastAsia="ru-RU"/>
        </w:rPr>
        <w:t xml:space="preserve">* Указывается фамилия, имя,</w:t>
      </w:r>
      <w:r>
        <w:rPr>
          <w:rFonts w:ascii="Tinos" w:hAnsi="Tinos" w:eastAsia="Tinos" w:cs="Tinos"/>
          <w:sz w:val="20"/>
          <w:szCs w:val="20"/>
          <w:lang w:eastAsia="ru-RU"/>
        </w:rPr>
        <w:t xml:space="preserve">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w:t>
      </w:r>
      <w:r>
        <w:rPr>
          <w:rFonts w:ascii="Tinos" w:hAnsi="Tinos" w:eastAsia="Tinos" w:cs="Tinos"/>
          <w:sz w:val="20"/>
          <w:szCs w:val="20"/>
          <w:lang w:eastAsia="ru-RU"/>
        </w:rPr>
        <w:t xml:space="preserve">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w:t>
      </w:r>
      <w:r>
        <w:rPr>
          <w:rFonts w:ascii="Tinos" w:hAnsi="Tinos" w:eastAsia="Tinos" w:cs="Tinos"/>
          <w:sz w:val="20"/>
          <w:szCs w:val="20"/>
          <w:lang w:eastAsia="ru-RU"/>
        </w:rPr>
        <w:t xml:space="preserve">рсональных данных) </w:t>
      </w:r>
      <w:r>
        <w:rPr>
          <w:rFonts w:ascii="Tinos" w:hAnsi="Tinos" w:cs="Tinos"/>
          <w:b/>
          <w:sz w:val="20"/>
          <w:szCs w:val="20"/>
        </w:rPr>
      </w:r>
    </w:p>
    <w:p>
      <w:pPr>
        <w:ind w:firstLine="709"/>
        <w:jc w:val="both"/>
        <w:keepNext/>
        <w:spacing w:after="0" w:line="17" w:lineRule="atLeast"/>
        <w:widowControl w:val="off"/>
        <w:rPr>
          <w:rFonts w:ascii="Tinos" w:hAnsi="Tinos" w:cs="Tinos"/>
          <w:sz w:val="20"/>
          <w:szCs w:val="20"/>
        </w:rPr>
      </w:pPr>
      <w:r>
        <w:rPr>
          <w:rFonts w:ascii="Tinos" w:hAnsi="Tinos" w:eastAsia="Tinos" w:cs="Tinos"/>
          <w:sz w:val="20"/>
          <w:szCs w:val="20"/>
          <w:lang w:eastAsia="ru-RU"/>
        </w:rPr>
        <w:t xml:space="preserve">** При заключении договоров ПАО «Россети Сибирь»/ Обществом под управлением ПАО «Россети Сибирь» обязаны получить согласие на обработку персональных данных участника закупки (потенциального контрагента/ контрагента/ планируемых к привле</w:t>
      </w:r>
      <w:r>
        <w:rPr>
          <w:rFonts w:ascii="Tinos" w:hAnsi="Tinos" w:eastAsia="Tinos" w:cs="Tinos"/>
          <w:sz w:val="20"/>
          <w:szCs w:val="20"/>
          <w:lang w:eastAsia="ru-RU"/>
        </w:rPr>
        <w:t xml:space="preserve">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w:t>
      </w:r>
      <w:r>
        <w:rPr>
          <w:rFonts w:ascii="Tinos" w:hAnsi="Tinos" w:eastAsia="Tinos" w:cs="Tinos"/>
          <w:sz w:val="20"/>
          <w:szCs w:val="20"/>
          <w:lang w:eastAsia="ru-RU"/>
        </w:rPr>
        <w:t xml:space="preserve">елей).</w:t>
      </w:r>
      <w:r>
        <w:rPr>
          <w:rFonts w:ascii="Tinos" w:hAnsi="Tinos" w:cs="Tinos"/>
          <w:sz w:val="20"/>
          <w:szCs w:val="20"/>
        </w:rPr>
      </w:r>
    </w:p>
    <w:p>
      <w:pPr>
        <w:ind w:firstLine="709"/>
        <w:jc w:val="both"/>
        <w:keepNext/>
        <w:spacing w:after="0" w:line="17" w:lineRule="atLeast"/>
        <w:rPr>
          <w:rFonts w:ascii="Tinos" w:hAnsi="Tinos" w:cs="Tinos"/>
          <w:sz w:val="20"/>
          <w:szCs w:val="20"/>
        </w:rPr>
      </w:pPr>
      <w:r>
        <w:rPr>
          <w:rFonts w:ascii="Tinos" w:hAnsi="Tinos" w:eastAsia="Tinos" w:cs="Tinos"/>
          <w:sz w:val="20"/>
          <w:szCs w:val="20"/>
          <w:lang w:eastAsia="ru-RU"/>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w:t>
      </w:r>
      <w:r>
        <w:rPr>
          <w:rFonts w:ascii="Tinos" w:hAnsi="Tinos" w:eastAsia="Tinos" w:cs="Tinos"/>
          <w:sz w:val="20"/>
          <w:szCs w:val="20"/>
          <w:lang w:eastAsia="ru-RU"/>
        </w:rPr>
        <w:t xml:space="preserve">бенефициарах исключает ответственность ПАО «Россети», ПАО «Россети Сибирь», Общества под управлением ПАО «Россети Сибирь» перед руководителем, собственником (участником, учредителем, акционером), а также бенефициаром участника закупки / контрагента / их су</w:t>
      </w:r>
      <w:r>
        <w:rPr>
          <w:rFonts w:ascii="Tinos" w:hAnsi="Tinos" w:eastAsia="Tinos" w:cs="Tinos"/>
          <w:sz w:val="20"/>
          <w:szCs w:val="20"/>
          <w:lang w:eastAsia="ru-RU"/>
        </w:rPr>
        <w:t xml:space="preserve">бконтрагентов за предоставление Обществу данных о руководителе, собственниках (участниках, учредителях, акционерах), в том числе своих бенефициарах и бенефициарах своего субконтрагента, и предполагает, что участник закупки (потенциальный контрагент) / конт</w:t>
      </w:r>
      <w:r>
        <w:rPr>
          <w:rFonts w:ascii="Tinos" w:hAnsi="Tinos" w:eastAsia="Tinos" w:cs="Tinos"/>
          <w:sz w:val="20"/>
          <w:szCs w:val="20"/>
          <w:lang w:eastAsia="ru-RU"/>
        </w:rPr>
        <w:t xml:space="preserve">рагент получил у руководителя, своих бенефициаров и бенефициаров своих субконтрагентов согласие на представление (обработку) ПАО «Россети», ПАО «Россети Сибирь», Обществу под управлением ПАО «Россети Сибирь» и в уполномоченные государственные органы указан</w:t>
      </w:r>
      <w:r>
        <w:rPr>
          <w:rFonts w:ascii="Tinos" w:hAnsi="Tinos" w:eastAsia="Tinos" w:cs="Tinos"/>
          <w:sz w:val="20"/>
          <w:szCs w:val="20"/>
          <w:lang w:eastAsia="ru-RU"/>
        </w:rPr>
        <w:t xml:space="preserve">ных сведений.</w:t>
      </w:r>
      <w:bookmarkEnd w:id="4"/>
      <w:r/>
      <w:r>
        <w:rPr>
          <w:rFonts w:ascii="Tinos" w:hAnsi="Tinos" w:cs="Tinos"/>
          <w:sz w:val="20"/>
          <w:szCs w:val="20"/>
        </w:rPr>
      </w:r>
    </w:p>
    <w:p>
      <w:pPr>
        <w:ind w:firstLine="709"/>
        <w:jc w:val="both"/>
        <w:spacing w:after="0" w:line="17" w:lineRule="atLeast"/>
        <w:rPr>
          <w:rFonts w:ascii="Tinos" w:hAnsi="Tinos" w:cs="Tinos"/>
          <w:sz w:val="20"/>
          <w:szCs w:val="20"/>
        </w:rPr>
      </w:pPr>
      <w:r>
        <w:rPr>
          <w:rFonts w:ascii="Tinos" w:hAnsi="Tinos" w:cs="Tinos"/>
          <w:sz w:val="20"/>
          <w:szCs w:val="20"/>
        </w:rPr>
      </w:r>
      <w:r>
        <w:rPr>
          <w:rFonts w:ascii="Tinos" w:hAnsi="Tinos" w:cs="Tinos"/>
          <w:sz w:val="20"/>
          <w:szCs w:val="20"/>
        </w:rPr>
      </w:r>
    </w:p>
    <w:tbl>
      <w:tblPr>
        <w:tblW w:w="0" w:type="auto"/>
        <w:tblLayout w:type="fixed"/>
        <w:tblLook w:val="00A0" w:firstRow="1" w:lastRow="0" w:firstColumn="1" w:lastColumn="0" w:noHBand="0" w:noVBand="0"/>
      </w:tblPr>
      <w:tblGrid>
        <w:gridCol w:w="10063"/>
      </w:tblGrid>
      <w:tr>
        <w:tblPrEx/>
        <w:trPr/>
        <w:tc>
          <w:tcPr>
            <w:tcW w:w="10063" w:type="dxa"/>
            <w:textDirection w:val="lrTb"/>
            <w:noWrap w:val="false"/>
          </w:tcPr>
          <w:p>
            <w:pPr>
              <w:jc w:val="both"/>
              <w:spacing w:after="0" w:line="17" w:lineRule="atLeast"/>
              <w:rPr>
                <w:rFonts w:ascii="Tinos" w:hAnsi="Tinos" w:cs="Tinos"/>
                <w:b/>
                <w:i/>
                <w:sz w:val="20"/>
                <w:szCs w:val="20"/>
              </w:rPr>
            </w:pPr>
            <w:r>
              <w:rPr>
                <w:rFonts w:ascii="Tinos" w:hAnsi="Tinos" w:cs="Tinos"/>
                <w:b/>
                <w:i/>
                <w:sz w:val="20"/>
                <w:szCs w:val="20"/>
              </w:rPr>
            </w:r>
            <w:r>
              <w:rPr>
                <w:rFonts w:ascii="Tinos" w:hAnsi="Tinos" w:cs="Tinos"/>
                <w:b/>
                <w:i/>
                <w:sz w:val="20"/>
                <w:szCs w:val="20"/>
              </w:rPr>
            </w:r>
          </w:p>
        </w:tc>
      </w:tr>
      <w:tr>
        <w:tblPrEx/>
        <w:trPr/>
        <w:tc>
          <w:tcPr>
            <w:tcW w:w="10063" w:type="dxa"/>
            <w:textDirection w:val="lrTb"/>
            <w:noWrap w:val="false"/>
          </w:tcPr>
          <w:p>
            <w:pPr>
              <w:jc w:val="both"/>
              <w:spacing w:after="0" w:line="17" w:lineRule="atLeast"/>
              <w:rPr>
                <w:rFonts w:ascii="Tinos" w:hAnsi="Tinos" w:cs="Tinos"/>
                <w:b/>
                <w:i/>
              </w:rPr>
            </w:pPr>
            <w:r>
              <w:rPr>
                <w:rFonts w:ascii="Tinos" w:hAnsi="Tinos" w:eastAsia="Tinos" w:cs="Tinos"/>
                <w:b/>
                <w:lang w:eastAsia="ru-RU"/>
              </w:rPr>
              <w:t xml:space="preserve">ФОРМУ СОГЛАСОВАЛИ:</w:t>
            </w:r>
            <w:r>
              <w:rPr>
                <w:rFonts w:ascii="Tinos" w:hAnsi="Tinos" w:cs="Tinos"/>
                <w:b/>
                <w:i/>
              </w:rPr>
            </w:r>
          </w:p>
        </w:tc>
      </w:tr>
      <w:tr>
        <w:tblPrEx/>
        <w:trPr/>
        <w:tc>
          <w:tcPr>
            <w:tcW w:w="10063" w:type="dxa"/>
            <w:textDirection w:val="lrTb"/>
            <w:noWrap w:val="false"/>
          </w:tcPr>
          <w:p>
            <w:pPr>
              <w:jc w:val="both"/>
              <w:spacing w:after="0" w:line="17" w:lineRule="atLeast"/>
              <w:rPr>
                <w:rFonts w:ascii="Tinos" w:hAnsi="Tinos" w:cs="Tinos"/>
                <w:b/>
              </w:rPr>
            </w:pPr>
            <w:r>
              <w:rPr>
                <w:rFonts w:ascii="Tinos" w:hAnsi="Tinos" w:eastAsia="Tinos" w:cs="Tinos"/>
                <w:b/>
                <w:lang w:eastAsia="ru-RU"/>
              </w:rPr>
              <w:t xml:space="preserve"> </w:t>
            </w:r>
            <w:r>
              <w:rPr>
                <w:rFonts w:ascii="Tinos" w:hAnsi="Tinos" w:cs="Tinos"/>
                <w:b/>
              </w:rPr>
            </w:r>
          </w:p>
          <w:tbl>
            <w:tblPr>
              <w:tblW w:w="10063" w:type="dxa"/>
              <w:tblLayout w:type="fixed"/>
              <w:tblLook w:val="04A0" w:firstRow="1" w:lastRow="0" w:firstColumn="1" w:lastColumn="0" w:noHBand="0" w:noVBand="1"/>
            </w:tblPr>
            <w:tblGrid>
              <w:gridCol w:w="4783"/>
              <w:gridCol w:w="5280"/>
            </w:tblGrid>
            <w:tr>
              <w:tblPrEx/>
              <w:trPr>
                <w:trHeight w:val="411"/>
              </w:trPr>
              <w:tc>
                <w:tcPr>
                  <w:tcW w:w="4783" w:type="dxa"/>
                  <w:textDirection w:val="lrTb"/>
                  <w:noWrap w:val="false"/>
                </w:tcPr>
                <w:p>
                  <w:pPr>
                    <w:jc w:val="both"/>
                    <w:keepNext/>
                    <w:spacing w:after="0" w:line="17" w:lineRule="atLeast"/>
                    <w:shd w:val="clear" w:color="auto" w:fill="ffffff"/>
                    <w:widowControl w:val="off"/>
                    <w:tabs>
                      <w:tab w:val="left" w:pos="567" w:leader="none"/>
                    </w:tabs>
                    <w:rPr>
                      <w:rFonts w:ascii="Tinos" w:hAnsi="Tinos" w:cs="Tinos"/>
                      <w:b/>
                      <w:bCs/>
                    </w:rPr>
                    <w:suppressLineNumbers/>
                  </w:pPr>
                  <w:r>
                    <w:rPr>
                      <w:rFonts w:ascii="Tinos" w:hAnsi="Tinos" w:eastAsia="Tinos" w:cs="Tinos"/>
                      <w:b/>
                      <w:bCs/>
                      <w:lang w:eastAsia="ru-RU"/>
                    </w:rPr>
                    <w:t xml:space="preserve">    </w:t>
                  </w:r>
                  <w:r>
                    <w:rPr>
                      <w:rFonts w:ascii="Tinos" w:hAnsi="Tinos" w:cs="Tinos"/>
                      <w:b/>
                      <w:bCs/>
                    </w:rPr>
                  </w:r>
                </w:p>
                <w:p>
                  <w:pPr>
                    <w:jc w:val="both"/>
                    <w:keepNext/>
                    <w:spacing w:after="0" w:line="17" w:lineRule="atLeast"/>
                    <w:shd w:val="clear" w:color="auto" w:fill="ffffff"/>
                    <w:widowControl w:val="off"/>
                    <w:tabs>
                      <w:tab w:val="left" w:pos="567" w:leader="none"/>
                    </w:tabs>
                    <w:rPr>
                      <w:rFonts w:ascii="Tinos" w:hAnsi="Tinos" w:cs="Tinos"/>
                      <w:b/>
                      <w:bCs/>
                    </w:rPr>
                    <w:suppressLineNumbers/>
                  </w:pPr>
                  <w:r>
                    <w:rPr>
                      <w:rFonts w:ascii="Tinos" w:hAnsi="Tinos" w:eastAsia="Tinos" w:cs="Tinos"/>
                      <w:b/>
                      <w:bCs/>
                      <w:lang w:eastAsia="ru-RU"/>
                    </w:rPr>
                    <w:t xml:space="preserve">Покупатель:</w:t>
                  </w:r>
                  <w:r>
                    <w:rPr>
                      <w:rFonts w:ascii="Tinos" w:hAnsi="Tinos" w:cs="Tinos"/>
                      <w:b/>
                      <w:bCs/>
                    </w:rPr>
                  </w:r>
                </w:p>
                <w:p>
                  <w:pPr>
                    <w:jc w:val="both"/>
                    <w:keepNext/>
                    <w:spacing w:after="0" w:line="17" w:lineRule="atLeast"/>
                    <w:shd w:val="clear" w:color="auto" w:fill="ffffff"/>
                    <w:widowControl w:val="off"/>
                    <w:tabs>
                      <w:tab w:val="left" w:pos="567" w:leader="none"/>
                    </w:tabs>
                    <w:rPr>
                      <w:rFonts w:ascii="Tinos" w:hAnsi="Tinos" w:cs="Tinos"/>
                      <w:b/>
                      <w:bCs/>
                    </w:rPr>
                    <w:suppressLineNumbers/>
                  </w:pPr>
                  <w:r>
                    <w:rPr>
                      <w:rFonts w:ascii="Tinos" w:hAnsi="Tinos" w:cs="Tinos"/>
                      <w:b/>
                      <w:bCs/>
                    </w:rPr>
                  </w:r>
                  <w:r>
                    <w:rPr>
                      <w:rFonts w:ascii="Tinos" w:hAnsi="Tinos" w:cs="Tinos"/>
                      <w:b/>
                      <w:bCs/>
                    </w:rPr>
                  </w:r>
                </w:p>
                <w:p>
                  <w:pPr>
                    <w:jc w:val="both"/>
                    <w:keepNext/>
                    <w:spacing w:after="0" w:line="17" w:lineRule="atLeast"/>
                    <w:shd w:val="clear" w:color="auto" w:fill="ffffff"/>
                    <w:widowControl w:val="off"/>
                    <w:tabs>
                      <w:tab w:val="left" w:pos="567" w:leader="none"/>
                    </w:tabs>
                    <w:rPr>
                      <w:rFonts w:ascii="Tinos" w:hAnsi="Tinos" w:cs="Tinos"/>
                      <w:b/>
                      <w:bCs/>
                    </w:rPr>
                    <w:suppressLineNumbers/>
                  </w:pPr>
                  <w:r>
                    <w:rPr>
                      <w:rFonts w:ascii="Tinos" w:hAnsi="Tinos" w:eastAsia="Tinos" w:cs="Tinos"/>
                      <w:b/>
                      <w:bCs/>
                      <w:lang w:eastAsia="ru-RU"/>
                    </w:rPr>
                    <w:t xml:space="preserve">_____________________/ А.В. Лукин /</w:t>
                  </w:r>
                  <w:r>
                    <w:rPr>
                      <w:rFonts w:ascii="Tinos" w:hAnsi="Tinos" w:cs="Tinos"/>
                      <w:b/>
                      <w:bCs/>
                    </w:rPr>
                  </w:r>
                </w:p>
              </w:tc>
              <w:tc>
                <w:tcPr>
                  <w:tcW w:w="5280" w:type="dxa"/>
                  <w:textDirection w:val="lrTb"/>
                  <w:noWrap w:val="false"/>
                </w:tcPr>
                <w:p>
                  <w:pPr>
                    <w:jc w:val="both"/>
                    <w:keepNext/>
                    <w:spacing w:after="0" w:line="17" w:lineRule="atLeast"/>
                    <w:shd w:val="clear" w:color="auto" w:fill="ffffff"/>
                    <w:widowControl w:val="off"/>
                    <w:tabs>
                      <w:tab w:val="left" w:pos="567" w:leader="none"/>
                    </w:tabs>
                    <w:rPr>
                      <w:rFonts w:ascii="Tinos" w:hAnsi="Tinos" w:cs="Tinos"/>
                      <w:b/>
                      <w:bCs/>
                    </w:rPr>
                    <w:suppressLineNumbers/>
                  </w:pPr>
                  <w:r>
                    <w:rPr>
                      <w:rFonts w:ascii="Tinos" w:hAnsi="Tinos" w:eastAsia="Tinos" w:cs="Tinos"/>
                      <w:b/>
                      <w:bCs/>
                      <w:lang w:eastAsia="ru-RU"/>
                    </w:rPr>
                    <w:t xml:space="preserve">  </w:t>
                  </w:r>
                  <w:r>
                    <w:rPr>
                      <w:rFonts w:ascii="Tinos" w:hAnsi="Tinos" w:cs="Tinos"/>
                      <w:b/>
                      <w:bCs/>
                    </w:rPr>
                  </w:r>
                </w:p>
                <w:p>
                  <w:pPr>
                    <w:jc w:val="both"/>
                    <w:keepNext/>
                    <w:spacing w:after="0" w:line="17" w:lineRule="atLeast"/>
                    <w:shd w:val="clear" w:color="auto" w:fill="ffffff"/>
                    <w:widowControl w:val="off"/>
                    <w:tabs>
                      <w:tab w:val="left" w:pos="567" w:leader="none"/>
                    </w:tabs>
                    <w:rPr>
                      <w:rFonts w:ascii="Tinos" w:hAnsi="Tinos" w:cs="Tinos"/>
                      <w:b/>
                      <w:bCs/>
                    </w:rPr>
                    <w:suppressLineNumbers/>
                  </w:pPr>
                  <w:r>
                    <w:rPr>
                      <w:rFonts w:ascii="Tinos" w:hAnsi="Tinos" w:eastAsia="Tinos" w:cs="Tinos"/>
                      <w:b/>
                      <w:bCs/>
                      <w:lang w:eastAsia="ru-RU"/>
                    </w:rPr>
                    <w:t xml:space="preserve">Поставщик:</w:t>
                  </w:r>
                  <w:r>
                    <w:rPr>
                      <w:rFonts w:ascii="Tinos" w:hAnsi="Tinos" w:cs="Tinos"/>
                      <w:b/>
                      <w:bCs/>
                    </w:rPr>
                  </w:r>
                </w:p>
                <w:p>
                  <w:pPr>
                    <w:ind w:firstLine="744"/>
                    <w:jc w:val="both"/>
                    <w:keepNext/>
                    <w:spacing w:after="0" w:line="17" w:lineRule="atLeast"/>
                    <w:shd w:val="clear" w:color="auto" w:fill="ffffff"/>
                    <w:widowControl w:val="off"/>
                    <w:tabs>
                      <w:tab w:val="left" w:pos="567" w:leader="none"/>
                    </w:tabs>
                    <w:rPr>
                      <w:rFonts w:ascii="Tinos" w:hAnsi="Tinos" w:cs="Tinos"/>
                      <w:b/>
                      <w:bCs/>
                    </w:rPr>
                    <w:suppressLineNumbers/>
                  </w:pPr>
                  <w:r>
                    <w:rPr>
                      <w:rFonts w:ascii="Tinos" w:hAnsi="Tinos" w:cs="Tinos"/>
                      <w:b/>
                      <w:bCs/>
                    </w:rPr>
                  </w:r>
                  <w:r>
                    <w:rPr>
                      <w:rFonts w:ascii="Tinos" w:hAnsi="Tinos" w:cs="Tinos"/>
                      <w:b/>
                      <w:bCs/>
                    </w:rPr>
                  </w:r>
                </w:p>
                <w:p>
                  <w:pPr>
                    <w:jc w:val="both"/>
                    <w:keepNext/>
                    <w:spacing w:after="0" w:line="17" w:lineRule="atLeast"/>
                    <w:shd w:val="clear" w:color="auto" w:fill="ffffff"/>
                    <w:widowControl w:val="off"/>
                    <w:tabs>
                      <w:tab w:val="left" w:pos="567" w:leader="none"/>
                    </w:tabs>
                    <w:rPr>
                      <w:rFonts w:ascii="Tinos" w:hAnsi="Tinos" w:cs="Tinos"/>
                      <w:b/>
                      <w:bCs/>
                    </w:rPr>
                    <w:suppressLineNumbers/>
                  </w:pPr>
                  <w:r>
                    <w:rPr>
                      <w:rFonts w:ascii="Tinos" w:hAnsi="Tinos" w:eastAsia="Tinos" w:cs="Tinos"/>
                      <w:b/>
                      <w:bCs/>
                      <w:lang w:eastAsia="ru-RU"/>
                    </w:rPr>
                    <w:t xml:space="preserve">_____________________/  /</w:t>
                  </w:r>
                  <w:r>
                    <w:rPr>
                      <w:rFonts w:ascii="Tinos" w:hAnsi="Tinos" w:cs="Tinos"/>
                      <w:b/>
                      <w:bCs/>
                    </w:rPr>
                  </w:r>
                </w:p>
              </w:tc>
            </w:tr>
            <w:tr>
              <w:tblPrEx/>
              <w:trPr>
                <w:trHeight w:val="402"/>
              </w:trPr>
              <w:tc>
                <w:tcPr>
                  <w:tcW w:w="4783" w:type="dxa"/>
                  <w:textDirection w:val="lrTb"/>
                  <w:noWrap w:val="false"/>
                </w:tcPr>
                <w:p>
                  <w:pPr>
                    <w:jc w:val="both"/>
                    <w:keepNext/>
                    <w:spacing w:after="0" w:line="17" w:lineRule="atLeast"/>
                    <w:shd w:val="clear" w:color="auto" w:fill="ffffff"/>
                    <w:widowControl w:val="off"/>
                    <w:tabs>
                      <w:tab w:val="left" w:pos="567" w:leader="none"/>
                    </w:tabs>
                    <w:rPr>
                      <w:rFonts w:ascii="Tinos" w:hAnsi="Tinos" w:cs="Tinos"/>
                      <w:b/>
                      <w:bCs/>
                    </w:rPr>
                    <w:suppressLineNumbers/>
                  </w:pPr>
                  <w:r>
                    <w:rPr>
                      <w:rFonts w:ascii="Tinos" w:hAnsi="Tinos" w:eastAsia="Tinos" w:cs="Tinos"/>
                      <w:b/>
                      <w:bCs/>
                      <w:lang w:eastAsia="ru-RU"/>
                    </w:rPr>
                    <w:t xml:space="preserve">М.П.</w:t>
                  </w:r>
                  <w:r>
                    <w:rPr>
                      <w:rFonts w:ascii="Tinos" w:hAnsi="Tinos" w:cs="Tinos"/>
                      <w:b/>
                      <w:bCs/>
                    </w:rPr>
                  </w:r>
                </w:p>
              </w:tc>
              <w:tc>
                <w:tcPr>
                  <w:tcW w:w="5280" w:type="dxa"/>
                  <w:textDirection w:val="lrTb"/>
                  <w:noWrap w:val="false"/>
                </w:tcPr>
                <w:p>
                  <w:pPr>
                    <w:jc w:val="both"/>
                    <w:keepNext/>
                    <w:spacing w:after="0" w:line="17" w:lineRule="atLeast"/>
                    <w:shd w:val="clear" w:color="auto" w:fill="ffffff"/>
                    <w:widowControl w:val="off"/>
                    <w:tabs>
                      <w:tab w:val="left" w:pos="567" w:leader="none"/>
                    </w:tabs>
                    <w:rPr>
                      <w:rFonts w:ascii="Tinos" w:hAnsi="Tinos" w:cs="Tinos"/>
                      <w:b/>
                      <w:bCs/>
                    </w:rPr>
                    <w:suppressLineNumbers/>
                  </w:pPr>
                  <w:r>
                    <w:rPr>
                      <w:rFonts w:ascii="Tinos" w:hAnsi="Tinos" w:eastAsia="Tinos" w:cs="Tinos"/>
                      <w:b/>
                      <w:bCs/>
                      <w:lang w:eastAsia="ru-RU"/>
                    </w:rPr>
                    <w:t xml:space="preserve">М.П.</w:t>
                  </w:r>
                  <w:r>
                    <w:rPr>
                      <w:rFonts w:ascii="Tinos" w:hAnsi="Tinos" w:cs="Tinos"/>
                      <w:b/>
                      <w:bCs/>
                    </w:rPr>
                  </w:r>
                </w:p>
              </w:tc>
            </w:tr>
            <w:tr>
              <w:tblPrEx/>
              <w:trPr>
                <w:trHeight w:val="679"/>
              </w:trPr>
              <w:tc>
                <w:tcPr>
                  <w:tcW w:w="4783" w:type="dxa"/>
                  <w:textDirection w:val="lrTb"/>
                  <w:noWrap w:val="false"/>
                </w:tcPr>
                <w:p>
                  <w:pPr>
                    <w:jc w:val="both"/>
                    <w:keepNext/>
                    <w:spacing w:after="0" w:line="17" w:lineRule="atLeast"/>
                    <w:shd w:val="clear" w:color="auto" w:fill="ffffff"/>
                    <w:widowControl w:val="off"/>
                    <w:tabs>
                      <w:tab w:val="left" w:pos="567" w:leader="none"/>
                    </w:tabs>
                    <w:rPr>
                      <w:rFonts w:ascii="Tinos" w:hAnsi="Tinos" w:cs="Tinos"/>
                      <w:b/>
                      <w:bCs/>
                    </w:rPr>
                    <w:suppressLineNumbers/>
                  </w:pPr>
                  <w:r>
                    <w:rPr>
                      <w:rFonts w:ascii="Tinos" w:hAnsi="Tinos" w:cs="Tinos"/>
                      <w:b/>
                      <w:bCs/>
                    </w:rPr>
                  </w:r>
                  <w:r>
                    <w:rPr>
                      <w:rFonts w:ascii="Tinos" w:hAnsi="Tinos" w:cs="Tinos"/>
                      <w:b/>
                      <w:bCs/>
                    </w:rPr>
                  </w:r>
                </w:p>
                <w:p>
                  <w:pPr>
                    <w:jc w:val="both"/>
                    <w:keepNext/>
                    <w:spacing w:after="0" w:line="17" w:lineRule="atLeast"/>
                    <w:shd w:val="clear" w:color="auto" w:fill="ffffff"/>
                    <w:widowControl w:val="off"/>
                    <w:tabs>
                      <w:tab w:val="left" w:pos="567" w:leader="none"/>
                    </w:tabs>
                    <w:rPr>
                      <w:rFonts w:ascii="Tinos" w:hAnsi="Tinos" w:cs="Tinos"/>
                      <w:b/>
                      <w:bCs/>
                    </w:rPr>
                    <w:suppressLineNumbers/>
                  </w:pPr>
                  <w:r>
                    <w:rPr>
                      <w:rFonts w:ascii="Tinos" w:hAnsi="Tinos" w:eastAsia="Tinos" w:cs="Tinos"/>
                      <w:b/>
                      <w:bCs/>
                      <w:lang w:eastAsia="ru-RU"/>
                    </w:rPr>
                    <w:t xml:space="preserve">«_____»___________20___г.</w:t>
                  </w:r>
                  <w:r>
                    <w:rPr>
                      <w:rFonts w:ascii="Tinos" w:hAnsi="Tinos" w:cs="Tinos"/>
                      <w:b/>
                      <w:bCs/>
                    </w:rPr>
                  </w:r>
                </w:p>
              </w:tc>
              <w:tc>
                <w:tcPr>
                  <w:tcW w:w="5280" w:type="dxa"/>
                  <w:textDirection w:val="lrTb"/>
                  <w:noWrap w:val="false"/>
                </w:tcPr>
                <w:p>
                  <w:pPr>
                    <w:ind w:firstLine="744"/>
                    <w:jc w:val="both"/>
                    <w:keepNext/>
                    <w:spacing w:after="0" w:line="17" w:lineRule="atLeast"/>
                    <w:shd w:val="clear" w:color="auto" w:fill="ffffff"/>
                    <w:widowControl w:val="off"/>
                    <w:tabs>
                      <w:tab w:val="left" w:pos="567" w:leader="none"/>
                    </w:tabs>
                    <w:rPr>
                      <w:rFonts w:ascii="Tinos" w:hAnsi="Tinos" w:cs="Tinos"/>
                      <w:b/>
                      <w:bCs/>
                    </w:rPr>
                    <w:suppressLineNumbers/>
                  </w:pPr>
                  <w:r>
                    <w:rPr>
                      <w:rFonts w:ascii="Tinos" w:hAnsi="Tinos" w:cs="Tinos"/>
                      <w:b/>
                      <w:bCs/>
                    </w:rPr>
                  </w:r>
                  <w:r>
                    <w:rPr>
                      <w:rFonts w:ascii="Tinos" w:hAnsi="Tinos" w:cs="Tinos"/>
                      <w:b/>
                      <w:bCs/>
                    </w:rPr>
                  </w:r>
                </w:p>
                <w:p>
                  <w:pPr>
                    <w:jc w:val="both"/>
                    <w:keepNext/>
                    <w:spacing w:after="0" w:line="17" w:lineRule="atLeast"/>
                    <w:shd w:val="clear" w:color="auto" w:fill="ffffff"/>
                    <w:widowControl w:val="off"/>
                    <w:tabs>
                      <w:tab w:val="left" w:pos="567" w:leader="none"/>
                    </w:tabs>
                    <w:rPr>
                      <w:rFonts w:ascii="Tinos" w:hAnsi="Tinos" w:cs="Tinos"/>
                      <w:b/>
                      <w:bCs/>
                    </w:rPr>
                    <w:suppressLineNumbers/>
                  </w:pPr>
                  <w:r>
                    <w:rPr>
                      <w:rFonts w:ascii="Tinos" w:hAnsi="Tinos" w:eastAsia="Tinos" w:cs="Tinos"/>
                      <w:b/>
                      <w:bCs/>
                      <w:lang w:eastAsia="ru-RU"/>
                    </w:rPr>
                    <w:t xml:space="preserve">«_____»___________20___г.</w:t>
                  </w:r>
                  <w:r>
                    <w:rPr>
                      <w:rFonts w:ascii="Tinos" w:hAnsi="Tinos" w:cs="Tinos"/>
                      <w:b/>
                      <w:bCs/>
                    </w:rPr>
                  </w:r>
                </w:p>
              </w:tc>
            </w:tr>
          </w:tbl>
          <w:p>
            <w:pPr>
              <w:ind w:left="6379" w:hanging="2"/>
              <w:jc w:val="both"/>
              <w:spacing w:after="0" w:line="17" w:lineRule="atLeast"/>
              <w:rPr>
                <w:rFonts w:ascii="Tinos" w:hAnsi="Tinos" w:cs="Tinos"/>
                <w:b/>
                <w:i/>
              </w:rPr>
            </w:pPr>
            <w:r>
              <w:rPr>
                <w:rFonts w:ascii="Tinos" w:hAnsi="Tinos" w:cs="Tinos"/>
                <w:b/>
                <w:i/>
              </w:rPr>
            </w:r>
            <w:r>
              <w:rPr>
                <w:rFonts w:ascii="Tinos" w:hAnsi="Tinos" w:cs="Tinos"/>
                <w:b/>
                <w:i/>
              </w:rPr>
            </w:r>
          </w:p>
        </w:tc>
      </w:tr>
    </w:tbl>
    <w:p>
      <w:pPr>
        <w:spacing w:after="0" w:line="17" w:lineRule="atLeast"/>
        <w:tabs>
          <w:tab w:val="left" w:pos="7995" w:leader="none"/>
        </w:tabs>
        <w:rPr>
          <w:rFonts w:ascii="Tinos" w:hAnsi="Tinos" w:cs="Tinos"/>
          <w:sz w:val="20"/>
          <w:szCs w:val="20"/>
        </w:rPr>
      </w:pPr>
      <w:r>
        <w:rPr>
          <w:rFonts w:ascii="Tinos" w:hAnsi="Tinos" w:cs="Tinos"/>
          <w:sz w:val="20"/>
          <w:szCs w:val="20"/>
        </w:rPr>
      </w:r>
      <w:r>
        <w:rPr>
          <w:rFonts w:ascii="Tinos" w:hAnsi="Tinos" w:cs="Tinos"/>
          <w:sz w:val="20"/>
          <w:szCs w:val="20"/>
        </w:rPr>
      </w:r>
    </w:p>
    <w:p>
      <w:pPr>
        <w:spacing w:after="0" w:line="17" w:lineRule="atLeast"/>
        <w:tabs>
          <w:tab w:val="left" w:pos="7995" w:leader="none"/>
        </w:tabs>
        <w:rPr>
          <w:rFonts w:ascii="Tinos" w:hAnsi="Tinos" w:cs="Tinos"/>
          <w:sz w:val="20"/>
          <w:szCs w:val="20"/>
        </w:rPr>
      </w:pPr>
      <w:r>
        <w:rPr>
          <w:rFonts w:ascii="Tinos" w:hAnsi="Tinos" w:cs="Tinos"/>
          <w:sz w:val="20"/>
          <w:szCs w:val="20"/>
        </w:rPr>
      </w:r>
      <w:r>
        <w:rPr>
          <w:rFonts w:ascii="Tinos" w:hAnsi="Tinos" w:cs="Tinos"/>
          <w:sz w:val="20"/>
          <w:szCs w:val="20"/>
        </w:rPr>
      </w:r>
    </w:p>
    <w:p>
      <w:pPr>
        <w:spacing w:after="0" w:line="17" w:lineRule="atLeast"/>
      </w:pPr>
      <w:r>
        <w:rPr>
          <w:rFonts w:ascii="Tinos" w:hAnsi="Tinos" w:eastAsia="Tinos" w:cs="Tinos"/>
          <w:sz w:val="20"/>
          <w:szCs w:val="20"/>
        </w:rPr>
        <w:br w:type="page" w:clear="all"/>
      </w:r>
      <w:r/>
    </w:p>
    <w:p>
      <w:pPr>
        <w:ind w:left="5954" w:firstLine="11"/>
        <w:jc w:val="right"/>
        <w:pageBreakBefore/>
        <w:spacing w:after="0" w:line="17" w:lineRule="atLeast"/>
        <w:widowControl w:val="off"/>
        <w:rPr>
          <w:rFonts w:ascii="Tinos" w:hAnsi="Tinos" w:cs="Tinos"/>
          <w:sz w:val="20"/>
          <w:szCs w:val="20"/>
        </w:rPr>
      </w:pPr>
      <w:r>
        <w:rPr>
          <w:rFonts w:ascii="Tinos" w:hAnsi="Tinos" w:eastAsia="Tinos" w:cs="Tinos"/>
          <w:sz w:val="20"/>
          <w:szCs w:val="20"/>
        </w:rPr>
        <w:t xml:space="preserve">Приложение № 5 </w:t>
      </w:r>
      <w:r>
        <w:rPr>
          <w:rFonts w:ascii="Tinos" w:hAnsi="Tinos" w:cs="Tinos"/>
          <w:sz w:val="20"/>
          <w:szCs w:val="20"/>
        </w:rPr>
      </w:r>
    </w:p>
    <w:p>
      <w:pPr>
        <w:ind w:left="5954" w:firstLine="12"/>
        <w:jc w:val="right"/>
        <w:spacing w:after="0" w:line="17" w:lineRule="atLeast"/>
        <w:widowControl w:val="off"/>
        <w:rPr>
          <w:rFonts w:ascii="Tinos" w:hAnsi="Tinos" w:cs="Tinos"/>
          <w:sz w:val="20"/>
          <w:szCs w:val="20"/>
        </w:rPr>
      </w:pPr>
      <w:r>
        <w:rPr>
          <w:rFonts w:ascii="Tinos" w:hAnsi="Tinos" w:eastAsia="Tinos" w:cs="Tinos"/>
          <w:sz w:val="20"/>
          <w:szCs w:val="20"/>
        </w:rPr>
        <w:t xml:space="preserve">                          </w:t>
      </w:r>
      <w:r>
        <w:rPr>
          <w:rFonts w:ascii="Tinos" w:hAnsi="Tinos" w:eastAsia="Tinos" w:cs="Tinos"/>
          <w:sz w:val="20"/>
          <w:szCs w:val="20"/>
        </w:rPr>
        <w:t xml:space="preserve">к Договору № ____________</w:t>
      </w:r>
      <w:r>
        <w:rPr>
          <w:rFonts w:ascii="Tinos" w:hAnsi="Tinos" w:cs="Tinos"/>
          <w:sz w:val="20"/>
          <w:szCs w:val="20"/>
        </w:rPr>
      </w:r>
    </w:p>
    <w:p>
      <w:pPr>
        <w:ind w:left="5954" w:firstLine="34"/>
        <w:jc w:val="right"/>
        <w:spacing w:after="0" w:line="17" w:lineRule="atLeast"/>
        <w:widowControl w:val="off"/>
        <w:tabs>
          <w:tab w:val="left" w:pos="-534" w:leader="none"/>
          <w:tab w:val="left" w:pos="1276" w:leader="none"/>
          <w:tab w:val="num" w:pos="1626" w:leader="none"/>
          <w:tab w:val="num" w:pos="1909" w:leader="none"/>
        </w:tabs>
        <w:rPr>
          <w:rFonts w:ascii="Tinos" w:hAnsi="Tinos" w:cs="Tinos"/>
          <w:sz w:val="20"/>
          <w:szCs w:val="20"/>
        </w:rPr>
      </w:pPr>
      <w:r>
        <w:rPr>
          <w:rFonts w:ascii="Tinos" w:hAnsi="Tinos" w:eastAsia="Tinos" w:cs="Tinos"/>
          <w:sz w:val="20"/>
          <w:szCs w:val="20"/>
        </w:rPr>
        <w:t xml:space="preserve">                          от «___» ________ 20__ г. </w:t>
      </w:r>
      <w:r>
        <w:rPr>
          <w:rFonts w:ascii="Tinos" w:hAnsi="Tinos" w:cs="Tinos"/>
          <w:sz w:val="20"/>
          <w:szCs w:val="20"/>
        </w:rPr>
      </w:r>
    </w:p>
    <w:p>
      <w:pPr>
        <w:spacing w:after="0" w:line="17" w:lineRule="atLeast"/>
        <w:tabs>
          <w:tab w:val="left" w:pos="7185" w:leader="none"/>
        </w:tabs>
        <w:rPr>
          <w:rFonts w:ascii="Tinos" w:hAnsi="Tinos" w:cs="Tinos"/>
          <w:sz w:val="20"/>
          <w:szCs w:val="20"/>
        </w:rPr>
      </w:pPr>
      <w:r>
        <w:rPr>
          <w:rFonts w:ascii="Tinos" w:hAnsi="Tinos" w:cs="Tinos"/>
          <w:sz w:val="20"/>
          <w:szCs w:val="20"/>
        </w:rPr>
      </w:r>
      <w:r>
        <w:rPr>
          <w:rFonts w:ascii="Tinos" w:hAnsi="Tinos" w:cs="Tinos"/>
          <w:sz w:val="20"/>
          <w:szCs w:val="20"/>
        </w:rPr>
      </w:r>
    </w:p>
    <w:p>
      <w:pPr>
        <w:spacing w:after="0" w:line="17" w:lineRule="atLeast"/>
        <w:rPr>
          <w:rFonts w:ascii="Tinos" w:hAnsi="Tinos" w:cs="Tinos"/>
          <w:sz w:val="20"/>
          <w:szCs w:val="20"/>
        </w:rPr>
      </w:pPr>
      <w:r>
        <w:rPr>
          <w:rFonts w:ascii="Tinos" w:hAnsi="Tinos" w:cs="Tinos"/>
          <w:sz w:val="20"/>
          <w:szCs w:val="20"/>
        </w:rPr>
      </w:r>
      <w:r>
        <w:rPr>
          <w:rFonts w:ascii="Tinos" w:hAnsi="Tinos" w:cs="Tinos"/>
          <w:sz w:val="20"/>
          <w:szCs w:val="20"/>
        </w:rPr>
      </w:r>
    </w:p>
    <w:p>
      <w:pPr>
        <w:spacing w:after="0" w:line="17" w:lineRule="atLeast"/>
        <w:rPr>
          <w:rFonts w:ascii="Tinos" w:hAnsi="Tinos" w:cs="Tinos"/>
          <w:sz w:val="20"/>
          <w:szCs w:val="20"/>
        </w:rPr>
      </w:pPr>
      <w:r>
        <w:rPr>
          <w:rFonts w:ascii="Tinos" w:hAnsi="Tinos" w:cs="Tinos"/>
          <w:sz w:val="20"/>
          <w:szCs w:val="20"/>
        </w:rPr>
      </w:r>
      <w:r>
        <w:rPr>
          <w:rFonts w:ascii="Tinos" w:hAnsi="Tinos" w:cs="Tinos"/>
          <w:sz w:val="20"/>
          <w:szCs w:val="20"/>
        </w:rPr>
      </w:r>
    </w:p>
    <w:p>
      <w:pPr>
        <w:spacing w:after="0" w:line="17" w:lineRule="atLeast"/>
        <w:widowControl w:val="off"/>
        <w:rPr>
          <w:rFonts w:ascii="Tinos" w:hAnsi="Tinos" w:cs="Tinos"/>
          <w:b/>
          <w:sz w:val="20"/>
          <w:szCs w:val="20"/>
        </w:rPr>
      </w:pPr>
      <w:r>
        <w:rPr>
          <w:rFonts w:ascii="Tinos" w:hAnsi="Tinos" w:eastAsia="Tinos" w:cs="Tinos"/>
          <w:b/>
          <w:sz w:val="20"/>
          <w:szCs w:val="20"/>
          <w:lang w:eastAsia="ru-RU"/>
        </w:rPr>
        <w:t xml:space="preserve">ФОРМА ДОКУМЕНТА</w:t>
      </w:r>
      <w:r>
        <w:rPr>
          <w:rFonts w:ascii="Tinos" w:hAnsi="Tinos" w:cs="Tinos"/>
          <w:b/>
          <w:sz w:val="20"/>
          <w:szCs w:val="20"/>
        </w:rPr>
      </w:r>
    </w:p>
    <w:p>
      <w:pPr>
        <w:ind w:firstLine="709"/>
        <w:jc w:val="center"/>
        <w:spacing w:after="0" w:line="17" w:lineRule="atLeast"/>
        <w:widowControl w:val="off"/>
        <w:rPr>
          <w:rFonts w:ascii="Tinos" w:hAnsi="Tinos" w:cs="Tinos"/>
          <w:b/>
          <w:sz w:val="20"/>
          <w:szCs w:val="20"/>
        </w:rPr>
      </w:pPr>
      <w:r>
        <w:rPr>
          <w:rFonts w:ascii="Tinos" w:hAnsi="Tinos" w:cs="Tinos"/>
          <w:b/>
          <w:sz w:val="20"/>
          <w:szCs w:val="20"/>
        </w:rPr>
      </w:r>
      <w:r>
        <w:rPr>
          <w:rFonts w:ascii="Tinos" w:hAnsi="Tinos" w:cs="Tinos"/>
          <w:b/>
          <w:sz w:val="20"/>
          <w:szCs w:val="20"/>
        </w:rPr>
      </w:r>
    </w:p>
    <w:p>
      <w:pPr>
        <w:jc w:val="center"/>
        <w:spacing w:after="0" w:line="17" w:lineRule="atLeast"/>
        <w:widowControl w:val="off"/>
        <w:rPr>
          <w:rFonts w:ascii="Tinos" w:hAnsi="Tinos" w:cs="Tinos"/>
          <w:sz w:val="20"/>
          <w:szCs w:val="20"/>
        </w:rPr>
      </w:pPr>
      <w:r>
        <w:rPr>
          <w:rFonts w:ascii="Tinos" w:hAnsi="Tinos" w:cs="Tinos"/>
          <w:sz w:val="20"/>
          <w:szCs w:val="20"/>
        </w:rPr>
      </w:r>
      <w:r>
        <w:rPr>
          <w:rFonts w:ascii="Tinos" w:hAnsi="Tinos" w:cs="Tinos"/>
          <w:sz w:val="20"/>
          <w:szCs w:val="20"/>
        </w:rPr>
      </w:r>
    </w:p>
    <w:p>
      <w:pPr>
        <w:jc w:val="center"/>
        <w:spacing w:after="0" w:line="17" w:lineRule="atLeast"/>
        <w:widowControl w:val="off"/>
        <w:rPr>
          <w:rFonts w:ascii="Tinos" w:hAnsi="Tinos" w:cs="Tinos"/>
          <w:b/>
          <w:bCs/>
        </w:rPr>
      </w:pPr>
      <w:r>
        <w:rPr>
          <w:rFonts w:ascii="Tinos" w:hAnsi="Tinos" w:eastAsia="Tinos" w:cs="Tinos"/>
          <w:b/>
          <w:bCs/>
          <w:lang w:eastAsia="ru-RU"/>
        </w:rPr>
        <w:t xml:space="preserve">Акт приема-передачи транспортного средства</w:t>
      </w:r>
      <w:r>
        <w:rPr>
          <w:rFonts w:ascii="Tinos" w:hAnsi="Tinos" w:cs="Tinos"/>
          <w:b/>
          <w:bCs/>
        </w:rPr>
      </w:r>
    </w:p>
    <w:p>
      <w:pPr>
        <w:jc w:val="center"/>
        <w:spacing w:after="0" w:line="17" w:lineRule="atLeast"/>
        <w:widowControl w:val="off"/>
        <w:rPr>
          <w:rFonts w:ascii="Tinos" w:hAnsi="Tinos" w:cs="Tinos"/>
          <w:sz w:val="20"/>
          <w:szCs w:val="20"/>
        </w:rPr>
      </w:pPr>
      <w:r>
        <w:rPr>
          <w:rFonts w:ascii="Tinos" w:hAnsi="Tinos" w:eastAsia="Tinos" w:cs="Tinos"/>
          <w:b/>
          <w:bCs/>
          <w:lang w:eastAsia="ru-RU"/>
        </w:rPr>
        <w:t xml:space="preserve"> к Договору поставки продукции № ________________ от «   »_________202     г.</w:t>
      </w:r>
      <w:r>
        <w:rPr>
          <w:rFonts w:ascii="Tinos" w:hAnsi="Tinos" w:eastAsia="Tinos" w:cs="Tinos"/>
          <w:lang w:eastAsia="ru-RU"/>
        </w:rPr>
        <w:t xml:space="preserve"> </w:t>
      </w:r>
      <w:r>
        <w:rPr>
          <w:rFonts w:ascii="Tinos" w:hAnsi="Tinos" w:eastAsia="Tinos" w:cs="Tinos"/>
          <w:sz w:val="20"/>
          <w:szCs w:val="20"/>
          <w:lang w:eastAsia="ru-RU"/>
        </w:rPr>
        <w:t xml:space="preserve"> </w:t>
      </w:r>
      <w:r>
        <w:rPr>
          <w:rFonts w:ascii="Tinos" w:hAnsi="Tinos" w:cs="Tinos"/>
          <w:sz w:val="20"/>
          <w:szCs w:val="20"/>
        </w:rPr>
      </w:r>
    </w:p>
    <w:p>
      <w:pPr>
        <w:jc w:val="center"/>
        <w:spacing w:after="0" w:line="17" w:lineRule="atLeast"/>
        <w:widowControl w:val="off"/>
        <w:rPr>
          <w:rFonts w:ascii="Tinos" w:hAnsi="Tinos" w:cs="Tinos"/>
          <w:sz w:val="20"/>
          <w:szCs w:val="20"/>
        </w:rPr>
      </w:pPr>
      <w:r>
        <w:rPr>
          <w:rFonts w:ascii="Tinos" w:hAnsi="Tinos" w:cs="Tinos"/>
          <w:sz w:val="20"/>
          <w:szCs w:val="20"/>
        </w:rPr>
      </w:r>
      <w:r>
        <w:rPr>
          <w:rFonts w:ascii="Tinos" w:hAnsi="Tinos" w:cs="Tinos"/>
          <w:sz w:val="20"/>
          <w:szCs w:val="20"/>
        </w:rPr>
      </w:r>
    </w:p>
    <w:p>
      <w:pPr>
        <w:jc w:val="both"/>
        <w:spacing w:after="0" w:line="17" w:lineRule="atLeast"/>
        <w:widowControl w:val="off"/>
        <w:rPr>
          <w:rFonts w:ascii="Tinos" w:hAnsi="Tinos" w:cs="Tinos"/>
          <w:sz w:val="20"/>
          <w:szCs w:val="20"/>
        </w:rPr>
      </w:pPr>
      <w:r>
        <w:rPr>
          <w:rFonts w:ascii="Tinos" w:hAnsi="Tinos" w:eastAsia="Tinos" w:cs="Tinos"/>
          <w:sz w:val="20"/>
          <w:szCs w:val="20"/>
          <w:lang w:eastAsia="ru-RU"/>
        </w:rPr>
        <w:t xml:space="preserve">г. _________</w:t>
      </w:r>
      <w:r>
        <w:rPr>
          <w:rFonts w:ascii="Tinos" w:hAnsi="Tinos" w:eastAsia="Tinos" w:cs="Tinos"/>
          <w:sz w:val="20"/>
          <w:szCs w:val="20"/>
          <w:lang w:eastAsia="ru-RU"/>
        </w:rPr>
        <w:t xml:space="preserve">                                                                                                                                  «____» _________ 202_ г.</w:t>
      </w:r>
      <w:r>
        <w:rPr>
          <w:rFonts w:ascii="Tinos" w:hAnsi="Tinos" w:cs="Tinos"/>
          <w:sz w:val="20"/>
          <w:szCs w:val="20"/>
        </w:rPr>
      </w:r>
    </w:p>
    <w:p>
      <w:pPr>
        <w:jc w:val="center"/>
        <w:spacing w:after="0" w:line="17" w:lineRule="atLeast"/>
        <w:widowControl w:val="off"/>
        <w:rPr>
          <w:rFonts w:ascii="Tinos" w:hAnsi="Tinos" w:cs="Tinos"/>
          <w:sz w:val="20"/>
          <w:szCs w:val="20"/>
        </w:rPr>
      </w:pPr>
      <w:r>
        <w:rPr>
          <w:rFonts w:ascii="Tinos" w:hAnsi="Tinos" w:cs="Tinos"/>
          <w:sz w:val="20"/>
          <w:szCs w:val="20"/>
        </w:rPr>
      </w:r>
      <w:r>
        <w:rPr>
          <w:rFonts w:ascii="Tinos" w:hAnsi="Tinos" w:cs="Tinos"/>
          <w:sz w:val="20"/>
          <w:szCs w:val="20"/>
        </w:rPr>
      </w:r>
    </w:p>
    <w:p>
      <w:pPr>
        <w:jc w:val="both"/>
        <w:spacing w:after="0" w:line="17" w:lineRule="atLeast"/>
        <w:widowControl w:val="off"/>
        <w:rPr>
          <w:rFonts w:ascii="Tinos" w:hAnsi="Tinos" w:cs="Tinos"/>
          <w:sz w:val="20"/>
          <w:szCs w:val="20"/>
        </w:rPr>
      </w:pPr>
      <w:r>
        <w:rPr>
          <w:rFonts w:ascii="Tinos" w:hAnsi="Tinos" w:eastAsia="Tinos" w:cs="Tinos"/>
          <w:sz w:val="20"/>
          <w:szCs w:val="20"/>
          <w:lang w:eastAsia="ru-RU"/>
        </w:rPr>
        <w:t xml:space="preserve">____________________________именуемое в дальнейшем Поставщик, в лице </w:t>
      </w:r>
      <w:r>
        <w:rPr>
          <w:rFonts w:ascii="Tinos" w:hAnsi="Tinos" w:eastAsia="Tinos" w:cs="Tinos"/>
          <w:color w:val="000000"/>
          <w:sz w:val="20"/>
          <w:szCs w:val="20"/>
          <w:lang w:eastAsia="ru-RU"/>
        </w:rPr>
        <w:t xml:space="preserve">____________________, действующ</w:t>
      </w:r>
      <w:r>
        <w:rPr>
          <w:rFonts w:ascii="Tinos" w:hAnsi="Tinos" w:eastAsia="Tinos" w:cs="Tinos"/>
          <w:color w:val="000000"/>
          <w:sz w:val="20"/>
          <w:szCs w:val="20"/>
          <w:lang w:eastAsia="ru-RU"/>
        </w:rPr>
        <w:t xml:space="preserve">его на основании _____________</w:t>
      </w:r>
      <w:r>
        <w:rPr>
          <w:rFonts w:ascii="Tinos" w:hAnsi="Tinos" w:eastAsia="Tinos" w:cs="Tinos"/>
          <w:sz w:val="20"/>
          <w:szCs w:val="20"/>
          <w:lang w:eastAsia="ru-RU"/>
        </w:rPr>
        <w:t xml:space="preserve"> с одной стороны, и АО «Россети Сибирь Тываэнерго», в лице _______________________________________________________________________________________________________________________________________________, действующего на основа</w:t>
      </w:r>
      <w:r>
        <w:rPr>
          <w:rFonts w:ascii="Tinos" w:hAnsi="Tinos" w:eastAsia="Tinos" w:cs="Tinos"/>
          <w:sz w:val="20"/>
          <w:szCs w:val="20"/>
          <w:lang w:eastAsia="ru-RU"/>
        </w:rPr>
        <w:t xml:space="preserve">нии _________________________ ______________________________________________ с другой стороны, составили настоящий акт о том, что:</w:t>
      </w:r>
      <w:r>
        <w:rPr>
          <w:rFonts w:ascii="Tinos" w:hAnsi="Tinos" w:cs="Tinos"/>
          <w:sz w:val="20"/>
          <w:szCs w:val="20"/>
        </w:rPr>
      </w:r>
    </w:p>
    <w:p>
      <w:pPr>
        <w:jc w:val="both"/>
        <w:spacing w:after="0" w:line="17" w:lineRule="atLeast"/>
        <w:widowControl w:val="off"/>
        <w:rPr>
          <w:rFonts w:ascii="Tinos" w:hAnsi="Tinos" w:cs="Tinos"/>
          <w:sz w:val="20"/>
          <w:szCs w:val="20"/>
        </w:rPr>
      </w:pPr>
      <w:r>
        <w:rPr>
          <w:rFonts w:ascii="Tinos" w:hAnsi="Tinos" w:cs="Tinos"/>
          <w:sz w:val="20"/>
          <w:szCs w:val="20"/>
        </w:rPr>
      </w:r>
      <w:r>
        <w:rPr>
          <w:rFonts w:ascii="Tinos" w:hAnsi="Tinos" w:cs="Tinos"/>
          <w:sz w:val="20"/>
          <w:szCs w:val="20"/>
        </w:rPr>
      </w:r>
    </w:p>
    <w:p>
      <w:pPr>
        <w:numPr>
          <w:ilvl w:val="0"/>
          <w:numId w:val="60"/>
        </w:numPr>
        <w:ind w:left="0" w:firstLine="0"/>
        <w:jc w:val="both"/>
        <w:keepNext/>
        <w:spacing w:after="0" w:line="17" w:lineRule="atLeast"/>
        <w:shd w:val="clear" w:color="auto" w:fill="ffffff"/>
        <w:widowControl w:val="off"/>
        <w:tabs>
          <w:tab w:val="left" w:pos="284" w:leader="none"/>
        </w:tabs>
        <w:rPr>
          <w:rFonts w:ascii="Tinos" w:hAnsi="Tinos" w:cs="Tinos"/>
          <w:sz w:val="20"/>
          <w:szCs w:val="20"/>
        </w:rPr>
      </w:pPr>
      <w:r>
        <w:rPr>
          <w:rFonts w:ascii="Tinos" w:hAnsi="Tinos" w:eastAsia="Tinos" w:cs="Tinos"/>
          <w:sz w:val="20"/>
          <w:szCs w:val="20"/>
          <w:lang w:eastAsia="ru-RU"/>
        </w:rPr>
        <w:t xml:space="preserve">По договору поставки № __________________ от «__» __________ 20__ г. года Покупателем принята следующая продукция:</w:t>
      </w:r>
      <w:r>
        <w:rPr>
          <w:rFonts w:ascii="Tinos" w:hAnsi="Tinos" w:cs="Tinos"/>
          <w:sz w:val="20"/>
          <w:szCs w:val="20"/>
        </w:rPr>
      </w:r>
    </w:p>
    <w:p>
      <w:pPr>
        <w:jc w:val="both"/>
        <w:spacing w:after="0" w:line="17" w:lineRule="atLeast"/>
        <w:shd w:val="clear" w:color="auto" w:fill="ffffff"/>
        <w:widowControl w:val="off"/>
        <w:tabs>
          <w:tab w:val="left" w:pos="284" w:leader="none"/>
        </w:tabs>
        <w:rPr>
          <w:rFonts w:ascii="Tinos" w:hAnsi="Tinos" w:cs="Tinos"/>
          <w:sz w:val="20"/>
          <w:szCs w:val="20"/>
        </w:rPr>
      </w:pPr>
      <w:r>
        <w:rPr>
          <w:rFonts w:ascii="Tinos" w:hAnsi="Tinos" w:cs="Tinos"/>
          <w:sz w:val="20"/>
          <w:szCs w:val="20"/>
        </w:rPr>
      </w:r>
      <w:r>
        <w:rPr>
          <w:rFonts w:ascii="Tinos" w:hAnsi="Tinos" w:cs="Tinos"/>
          <w:sz w:val="20"/>
          <w:szCs w:val="20"/>
        </w:rPr>
      </w:r>
    </w:p>
    <w:tbl>
      <w:tblPr>
        <w:tblW w:w="10063" w:type="dxa"/>
        <w:tblLayout w:type="fixed"/>
        <w:tblLook w:val="04A0" w:firstRow="1" w:lastRow="0" w:firstColumn="1" w:lastColumn="0" w:noHBand="0" w:noVBand="1"/>
      </w:tblPr>
      <w:tblGrid>
        <w:gridCol w:w="5396"/>
        <w:gridCol w:w="4667"/>
      </w:tblGrid>
      <w:tr>
        <w:tblPrEx/>
        <w:trPr>
          <w:trHeight w:val="90"/>
        </w:trPr>
        <w:tc>
          <w:tcPr>
            <w:shd w:val="clear" w:color="auto" w:fill="auto"/>
            <w:tcBorders>
              <w:top w:val="single" w:color="auto" w:sz="4" w:space="0"/>
              <w:left w:val="single" w:color="auto" w:sz="4" w:space="0"/>
              <w:bottom w:val="single" w:color="auto" w:sz="4" w:space="0"/>
              <w:right w:val="single" w:color="auto" w:sz="4" w:space="0"/>
            </w:tcBorders>
            <w:tcW w:w="5396" w:type="dxa"/>
            <w:vAlign w:val="center"/>
            <w:textDirection w:val="lrTb"/>
            <w:noWrap/>
          </w:tcPr>
          <w:p>
            <w:pPr>
              <w:ind w:firstLine="34"/>
              <w:jc w:val="both"/>
              <w:spacing w:after="0" w:line="17" w:lineRule="atLeast"/>
              <w:widowControl w:val="off"/>
              <w:rPr>
                <w:rFonts w:ascii="Tinos" w:hAnsi="Tinos" w:cs="Tinos"/>
                <w:bCs/>
                <w:color w:val="000000"/>
                <w:sz w:val="20"/>
                <w:szCs w:val="20"/>
              </w:rPr>
            </w:pPr>
            <w:r>
              <w:rPr>
                <w:rFonts w:ascii="Tinos" w:hAnsi="Tinos" w:eastAsia="Tinos" w:cs="Tinos"/>
                <w:bCs/>
                <w:color w:val="000000"/>
                <w:sz w:val="20"/>
                <w:szCs w:val="20"/>
                <w:lang w:eastAsia="ru-RU"/>
              </w:rPr>
              <w:t xml:space="preserve">Идентификационный номер (VIN)</w:t>
            </w:r>
            <w:r>
              <w:rPr>
                <w:rFonts w:ascii="Tinos" w:hAnsi="Tinos" w:cs="Tinos"/>
                <w:bCs/>
                <w:color w:val="000000"/>
                <w:sz w:val="20"/>
                <w:szCs w:val="20"/>
              </w:rPr>
            </w:r>
          </w:p>
        </w:tc>
        <w:tc>
          <w:tcPr>
            <w:shd w:val="clear" w:color="auto" w:fill="auto"/>
            <w:tcBorders>
              <w:top w:val="single" w:color="auto" w:sz="4" w:space="0"/>
              <w:left w:val="none" w:color="000000" w:sz="4" w:space="0"/>
              <w:bottom w:val="single" w:color="auto" w:sz="4" w:space="0"/>
              <w:right w:val="single" w:color="auto" w:sz="4" w:space="0"/>
            </w:tcBorders>
            <w:tcW w:w="4667" w:type="dxa"/>
            <w:vAlign w:val="center"/>
            <w:textDirection w:val="lrTb"/>
            <w:noWrap/>
          </w:tcPr>
          <w:p>
            <w:pPr>
              <w:ind w:firstLine="709"/>
              <w:jc w:val="both"/>
              <w:spacing w:after="0" w:line="17" w:lineRule="atLeast"/>
              <w:widowControl w:val="off"/>
              <w:rPr>
                <w:rFonts w:ascii="Tinos" w:hAnsi="Tinos" w:cs="Tinos"/>
                <w:color w:val="000000"/>
                <w:sz w:val="20"/>
                <w:szCs w:val="20"/>
              </w:rPr>
            </w:pPr>
            <w:r>
              <w:rPr>
                <w:rFonts w:ascii="Tinos" w:hAnsi="Tinos" w:cs="Tinos"/>
                <w:color w:val="000000"/>
                <w:sz w:val="20"/>
                <w:szCs w:val="20"/>
              </w:rPr>
            </w:r>
            <w:r>
              <w:rPr>
                <w:rFonts w:ascii="Tinos" w:hAnsi="Tinos" w:cs="Tinos"/>
                <w:color w:val="000000"/>
                <w:sz w:val="20"/>
                <w:szCs w:val="20"/>
              </w:rPr>
            </w:r>
          </w:p>
        </w:tc>
      </w:tr>
      <w:tr>
        <w:tblPrEx/>
        <w:trPr>
          <w:trHeight w:val="135"/>
        </w:trPr>
        <w:tc>
          <w:tcPr>
            <w:shd w:val="clear" w:color="auto" w:fill="auto"/>
            <w:tcBorders>
              <w:top w:val="none" w:color="000000" w:sz="4" w:space="0"/>
              <w:left w:val="single" w:color="auto" w:sz="4" w:space="0"/>
              <w:bottom w:val="single" w:color="auto" w:sz="4" w:space="0"/>
              <w:right w:val="single" w:color="auto" w:sz="4" w:space="0"/>
            </w:tcBorders>
            <w:tcW w:w="5396" w:type="dxa"/>
            <w:vAlign w:val="center"/>
            <w:textDirection w:val="lrTb"/>
            <w:noWrap/>
          </w:tcPr>
          <w:p>
            <w:pPr>
              <w:ind w:firstLine="34"/>
              <w:jc w:val="both"/>
              <w:spacing w:after="0" w:line="17" w:lineRule="atLeast"/>
              <w:widowControl w:val="off"/>
              <w:rPr>
                <w:rFonts w:ascii="Tinos" w:hAnsi="Tinos" w:cs="Tinos"/>
                <w:bCs/>
                <w:color w:val="000000"/>
                <w:sz w:val="20"/>
                <w:szCs w:val="20"/>
              </w:rPr>
            </w:pPr>
            <w:r>
              <w:rPr>
                <w:rFonts w:ascii="Tinos" w:hAnsi="Tinos" w:eastAsia="Tinos" w:cs="Tinos"/>
                <w:bCs/>
                <w:color w:val="000000"/>
                <w:sz w:val="20"/>
                <w:szCs w:val="20"/>
                <w:lang w:eastAsia="ru-RU"/>
              </w:rPr>
              <w:t xml:space="preserve">Марка, модель ТС</w:t>
            </w:r>
            <w:r>
              <w:rPr>
                <w:rFonts w:ascii="Tinos" w:hAnsi="Tinos" w:cs="Tinos"/>
                <w:bCs/>
                <w:color w:val="000000"/>
                <w:sz w:val="20"/>
                <w:szCs w:val="20"/>
              </w:rPr>
            </w:r>
          </w:p>
        </w:tc>
        <w:tc>
          <w:tcPr>
            <w:shd w:val="clear" w:color="auto" w:fill="auto"/>
            <w:tcBorders>
              <w:top w:val="none" w:color="000000" w:sz="4" w:space="0"/>
              <w:left w:val="none" w:color="000000" w:sz="4" w:space="0"/>
              <w:bottom w:val="single" w:color="auto" w:sz="4" w:space="0"/>
              <w:right w:val="single" w:color="auto" w:sz="4" w:space="0"/>
            </w:tcBorders>
            <w:tcW w:w="4667" w:type="dxa"/>
            <w:vAlign w:val="center"/>
            <w:textDirection w:val="lrTb"/>
            <w:noWrap/>
          </w:tcPr>
          <w:p>
            <w:pPr>
              <w:ind w:firstLine="709"/>
              <w:jc w:val="both"/>
              <w:spacing w:after="0" w:line="17" w:lineRule="atLeast"/>
              <w:widowControl w:val="off"/>
              <w:rPr>
                <w:rFonts w:ascii="Tinos" w:hAnsi="Tinos" w:cs="Tinos"/>
                <w:color w:val="000000"/>
                <w:sz w:val="20"/>
                <w:szCs w:val="20"/>
              </w:rPr>
            </w:pPr>
            <w:r>
              <w:rPr>
                <w:rFonts w:ascii="Tinos" w:hAnsi="Tinos" w:cs="Tinos"/>
                <w:color w:val="000000"/>
                <w:sz w:val="20"/>
                <w:szCs w:val="20"/>
              </w:rPr>
            </w:r>
            <w:r>
              <w:rPr>
                <w:rFonts w:ascii="Tinos" w:hAnsi="Tinos" w:cs="Tinos"/>
                <w:color w:val="000000"/>
                <w:sz w:val="20"/>
                <w:szCs w:val="20"/>
              </w:rPr>
            </w:r>
          </w:p>
        </w:tc>
      </w:tr>
      <w:tr>
        <w:tblPrEx/>
        <w:trPr>
          <w:trHeight w:val="168"/>
        </w:trPr>
        <w:tc>
          <w:tcPr>
            <w:shd w:val="clear" w:color="auto" w:fill="auto"/>
            <w:tcBorders>
              <w:top w:val="none" w:color="000000" w:sz="4" w:space="0"/>
              <w:left w:val="single" w:color="auto" w:sz="4" w:space="0"/>
              <w:bottom w:val="single" w:color="auto" w:sz="4" w:space="0"/>
              <w:right w:val="single" w:color="auto" w:sz="4" w:space="0"/>
            </w:tcBorders>
            <w:tcW w:w="5396" w:type="dxa"/>
            <w:vAlign w:val="center"/>
            <w:textDirection w:val="lrTb"/>
            <w:noWrap/>
          </w:tcPr>
          <w:p>
            <w:pPr>
              <w:ind w:firstLine="34"/>
              <w:jc w:val="both"/>
              <w:spacing w:after="0" w:line="17" w:lineRule="atLeast"/>
              <w:widowControl w:val="off"/>
              <w:rPr>
                <w:rFonts w:ascii="Tinos" w:hAnsi="Tinos" w:cs="Tinos"/>
                <w:bCs/>
                <w:color w:val="000000"/>
                <w:sz w:val="20"/>
                <w:szCs w:val="20"/>
              </w:rPr>
            </w:pPr>
            <w:r>
              <w:rPr>
                <w:rFonts w:ascii="Tinos" w:hAnsi="Tinos" w:eastAsia="Tinos" w:cs="Tinos"/>
                <w:bCs/>
                <w:color w:val="000000"/>
                <w:sz w:val="20"/>
                <w:szCs w:val="20"/>
                <w:lang w:eastAsia="ru-RU"/>
              </w:rPr>
              <w:t xml:space="preserve">Наименование (тип ТС)</w:t>
            </w:r>
            <w:r>
              <w:rPr>
                <w:rFonts w:ascii="Tinos" w:hAnsi="Tinos" w:cs="Tinos"/>
                <w:bCs/>
                <w:color w:val="000000"/>
                <w:sz w:val="20"/>
                <w:szCs w:val="20"/>
              </w:rPr>
            </w:r>
          </w:p>
        </w:tc>
        <w:tc>
          <w:tcPr>
            <w:shd w:val="clear" w:color="auto" w:fill="auto"/>
            <w:tcBorders>
              <w:top w:val="none" w:color="000000" w:sz="4" w:space="0"/>
              <w:left w:val="none" w:color="000000" w:sz="4" w:space="0"/>
              <w:bottom w:val="single" w:color="auto" w:sz="4" w:space="0"/>
              <w:right w:val="single" w:color="auto" w:sz="4" w:space="0"/>
            </w:tcBorders>
            <w:tcW w:w="4667" w:type="dxa"/>
            <w:vAlign w:val="center"/>
            <w:textDirection w:val="lrTb"/>
            <w:noWrap/>
          </w:tcPr>
          <w:p>
            <w:pPr>
              <w:ind w:firstLine="709"/>
              <w:jc w:val="both"/>
              <w:spacing w:after="0" w:line="17" w:lineRule="atLeast"/>
              <w:widowControl w:val="off"/>
              <w:rPr>
                <w:rFonts w:ascii="Tinos" w:hAnsi="Tinos" w:cs="Tinos"/>
                <w:color w:val="000000"/>
                <w:sz w:val="20"/>
                <w:szCs w:val="20"/>
              </w:rPr>
            </w:pPr>
            <w:r>
              <w:rPr>
                <w:rFonts w:ascii="Tinos" w:hAnsi="Tinos" w:cs="Tinos"/>
                <w:color w:val="000000"/>
                <w:sz w:val="20"/>
                <w:szCs w:val="20"/>
              </w:rPr>
            </w:r>
            <w:r>
              <w:rPr>
                <w:rFonts w:ascii="Tinos" w:hAnsi="Tinos" w:cs="Tinos"/>
                <w:color w:val="000000"/>
                <w:sz w:val="20"/>
                <w:szCs w:val="20"/>
              </w:rPr>
            </w:r>
          </w:p>
        </w:tc>
      </w:tr>
      <w:tr>
        <w:tblPrEx/>
        <w:trPr>
          <w:trHeight w:val="214"/>
        </w:trPr>
        <w:tc>
          <w:tcPr>
            <w:shd w:val="clear" w:color="auto" w:fill="auto"/>
            <w:tcBorders>
              <w:top w:val="none" w:color="000000" w:sz="4" w:space="0"/>
              <w:left w:val="single" w:color="auto" w:sz="4" w:space="0"/>
              <w:bottom w:val="single" w:color="auto" w:sz="4" w:space="0"/>
              <w:right w:val="single" w:color="auto" w:sz="4" w:space="0"/>
            </w:tcBorders>
            <w:tcW w:w="5396" w:type="dxa"/>
            <w:vAlign w:val="center"/>
            <w:textDirection w:val="lrTb"/>
            <w:noWrap/>
          </w:tcPr>
          <w:p>
            <w:pPr>
              <w:ind w:firstLine="34"/>
              <w:jc w:val="both"/>
              <w:spacing w:after="0" w:line="17" w:lineRule="atLeast"/>
              <w:widowControl w:val="off"/>
              <w:rPr>
                <w:rFonts w:ascii="Tinos" w:hAnsi="Tinos" w:cs="Tinos"/>
                <w:bCs/>
                <w:color w:val="000000"/>
                <w:sz w:val="20"/>
                <w:szCs w:val="20"/>
              </w:rPr>
            </w:pPr>
            <w:r>
              <w:rPr>
                <w:rFonts w:ascii="Tinos" w:hAnsi="Tinos" w:eastAsia="Tinos" w:cs="Tinos"/>
                <w:bCs/>
                <w:color w:val="000000"/>
                <w:sz w:val="20"/>
                <w:szCs w:val="20"/>
                <w:lang w:eastAsia="ru-RU"/>
              </w:rPr>
              <w:t xml:space="preserve">Категория ТС (A, B,C,D, прицеп)</w:t>
            </w:r>
            <w:r>
              <w:rPr>
                <w:rFonts w:ascii="Tinos" w:hAnsi="Tinos" w:cs="Tinos"/>
                <w:bCs/>
                <w:color w:val="000000"/>
                <w:sz w:val="20"/>
                <w:szCs w:val="20"/>
              </w:rPr>
            </w:r>
          </w:p>
        </w:tc>
        <w:tc>
          <w:tcPr>
            <w:shd w:val="clear" w:color="auto" w:fill="auto"/>
            <w:tcBorders>
              <w:top w:val="none" w:color="000000" w:sz="4" w:space="0"/>
              <w:left w:val="none" w:color="000000" w:sz="4" w:space="0"/>
              <w:bottom w:val="single" w:color="auto" w:sz="4" w:space="0"/>
              <w:right w:val="single" w:color="auto" w:sz="4" w:space="0"/>
            </w:tcBorders>
            <w:tcW w:w="4667" w:type="dxa"/>
            <w:vAlign w:val="center"/>
            <w:textDirection w:val="lrTb"/>
            <w:noWrap/>
          </w:tcPr>
          <w:p>
            <w:pPr>
              <w:ind w:firstLine="709"/>
              <w:jc w:val="both"/>
              <w:spacing w:after="0" w:line="17" w:lineRule="atLeast"/>
              <w:widowControl w:val="off"/>
              <w:rPr>
                <w:rFonts w:ascii="Tinos" w:hAnsi="Tinos" w:cs="Tinos"/>
                <w:color w:val="000000"/>
                <w:sz w:val="20"/>
                <w:szCs w:val="20"/>
              </w:rPr>
            </w:pPr>
            <w:r>
              <w:rPr>
                <w:rFonts w:ascii="Tinos" w:hAnsi="Tinos" w:cs="Tinos"/>
                <w:color w:val="000000"/>
                <w:sz w:val="20"/>
                <w:szCs w:val="20"/>
              </w:rPr>
            </w:r>
            <w:r>
              <w:rPr>
                <w:rFonts w:ascii="Tinos" w:hAnsi="Tinos" w:cs="Tinos"/>
                <w:color w:val="000000"/>
                <w:sz w:val="20"/>
                <w:szCs w:val="20"/>
              </w:rPr>
            </w:r>
          </w:p>
        </w:tc>
      </w:tr>
      <w:tr>
        <w:tblPrEx/>
        <w:trPr>
          <w:trHeight w:val="118"/>
        </w:trPr>
        <w:tc>
          <w:tcPr>
            <w:shd w:val="clear" w:color="auto" w:fill="auto"/>
            <w:tcBorders>
              <w:top w:val="none" w:color="000000" w:sz="4" w:space="0"/>
              <w:left w:val="single" w:color="auto" w:sz="4" w:space="0"/>
              <w:bottom w:val="single" w:color="auto" w:sz="4" w:space="0"/>
              <w:right w:val="single" w:color="auto" w:sz="4" w:space="0"/>
            </w:tcBorders>
            <w:tcW w:w="5396" w:type="dxa"/>
            <w:vAlign w:val="center"/>
            <w:textDirection w:val="lrTb"/>
            <w:noWrap/>
          </w:tcPr>
          <w:p>
            <w:pPr>
              <w:ind w:firstLine="34"/>
              <w:jc w:val="both"/>
              <w:spacing w:after="0" w:line="17" w:lineRule="atLeast"/>
              <w:widowControl w:val="off"/>
              <w:rPr>
                <w:rFonts w:ascii="Tinos" w:hAnsi="Tinos" w:cs="Tinos"/>
                <w:bCs/>
                <w:color w:val="000000"/>
                <w:sz w:val="20"/>
                <w:szCs w:val="20"/>
              </w:rPr>
            </w:pPr>
            <w:r>
              <w:rPr>
                <w:rFonts w:ascii="Tinos" w:hAnsi="Tinos" w:eastAsia="Tinos" w:cs="Tinos"/>
                <w:bCs/>
                <w:color w:val="000000"/>
                <w:sz w:val="20"/>
                <w:szCs w:val="20"/>
                <w:lang w:eastAsia="ru-RU"/>
              </w:rPr>
              <w:t xml:space="preserve">Год изготовления ТС</w:t>
            </w:r>
            <w:r>
              <w:rPr>
                <w:rFonts w:ascii="Tinos" w:hAnsi="Tinos" w:cs="Tinos"/>
                <w:bCs/>
                <w:color w:val="000000"/>
                <w:sz w:val="20"/>
                <w:szCs w:val="20"/>
              </w:rPr>
            </w:r>
          </w:p>
        </w:tc>
        <w:tc>
          <w:tcPr>
            <w:shd w:val="clear" w:color="auto" w:fill="auto"/>
            <w:tcBorders>
              <w:top w:val="none" w:color="000000" w:sz="4" w:space="0"/>
              <w:left w:val="none" w:color="000000" w:sz="4" w:space="0"/>
              <w:bottom w:val="single" w:color="auto" w:sz="4" w:space="0"/>
              <w:right w:val="single" w:color="auto" w:sz="4" w:space="0"/>
            </w:tcBorders>
            <w:tcW w:w="4667" w:type="dxa"/>
            <w:vAlign w:val="center"/>
            <w:textDirection w:val="lrTb"/>
            <w:noWrap/>
          </w:tcPr>
          <w:p>
            <w:pPr>
              <w:ind w:firstLine="709"/>
              <w:jc w:val="both"/>
              <w:spacing w:after="0" w:line="17" w:lineRule="atLeast"/>
              <w:widowControl w:val="off"/>
              <w:rPr>
                <w:rFonts w:ascii="Tinos" w:hAnsi="Tinos" w:cs="Tinos"/>
                <w:color w:val="000000"/>
                <w:sz w:val="20"/>
                <w:szCs w:val="20"/>
              </w:rPr>
            </w:pPr>
            <w:r>
              <w:rPr>
                <w:rFonts w:ascii="Tinos" w:hAnsi="Tinos" w:cs="Tinos"/>
                <w:color w:val="000000"/>
                <w:sz w:val="20"/>
                <w:szCs w:val="20"/>
              </w:rPr>
            </w:r>
            <w:r>
              <w:rPr>
                <w:rFonts w:ascii="Tinos" w:hAnsi="Tinos" w:cs="Tinos"/>
                <w:color w:val="000000"/>
                <w:sz w:val="20"/>
                <w:szCs w:val="20"/>
              </w:rPr>
            </w:r>
          </w:p>
        </w:tc>
      </w:tr>
      <w:tr>
        <w:tblPrEx/>
        <w:trPr>
          <w:trHeight w:val="164"/>
        </w:trPr>
        <w:tc>
          <w:tcPr>
            <w:shd w:val="clear" w:color="auto" w:fill="auto"/>
            <w:tcBorders>
              <w:top w:val="none" w:color="000000" w:sz="4" w:space="0"/>
              <w:left w:val="single" w:color="auto" w:sz="4" w:space="0"/>
              <w:bottom w:val="single" w:color="auto" w:sz="4" w:space="0"/>
              <w:right w:val="single" w:color="auto" w:sz="4" w:space="0"/>
            </w:tcBorders>
            <w:tcW w:w="5396" w:type="dxa"/>
            <w:vAlign w:val="center"/>
            <w:textDirection w:val="lrTb"/>
            <w:noWrap/>
          </w:tcPr>
          <w:p>
            <w:pPr>
              <w:ind w:firstLine="34"/>
              <w:jc w:val="both"/>
              <w:spacing w:after="0" w:line="17" w:lineRule="atLeast"/>
              <w:widowControl w:val="off"/>
              <w:rPr>
                <w:rFonts w:ascii="Tinos" w:hAnsi="Tinos" w:cs="Tinos"/>
                <w:bCs/>
                <w:color w:val="000000"/>
                <w:sz w:val="20"/>
                <w:szCs w:val="20"/>
              </w:rPr>
            </w:pPr>
            <w:r>
              <w:rPr>
                <w:rFonts w:ascii="Tinos" w:hAnsi="Tinos" w:eastAsia="Tinos" w:cs="Tinos"/>
                <w:bCs/>
                <w:color w:val="000000"/>
                <w:sz w:val="20"/>
                <w:szCs w:val="20"/>
                <w:lang w:eastAsia="ru-RU"/>
              </w:rPr>
              <w:t xml:space="preserve">Модель, № двигателя</w:t>
            </w:r>
            <w:r>
              <w:rPr>
                <w:rFonts w:ascii="Tinos" w:hAnsi="Tinos" w:cs="Tinos"/>
                <w:bCs/>
                <w:color w:val="000000"/>
                <w:sz w:val="20"/>
                <w:szCs w:val="20"/>
              </w:rPr>
            </w:r>
          </w:p>
        </w:tc>
        <w:tc>
          <w:tcPr>
            <w:shd w:val="clear" w:color="auto" w:fill="auto"/>
            <w:tcBorders>
              <w:top w:val="none" w:color="000000" w:sz="4" w:space="0"/>
              <w:left w:val="none" w:color="000000" w:sz="4" w:space="0"/>
              <w:bottom w:val="single" w:color="auto" w:sz="4" w:space="0"/>
              <w:right w:val="single" w:color="auto" w:sz="4" w:space="0"/>
            </w:tcBorders>
            <w:tcW w:w="4667" w:type="dxa"/>
            <w:vAlign w:val="center"/>
            <w:textDirection w:val="lrTb"/>
            <w:noWrap/>
          </w:tcPr>
          <w:p>
            <w:pPr>
              <w:ind w:firstLine="709"/>
              <w:jc w:val="both"/>
              <w:spacing w:after="0" w:line="17" w:lineRule="atLeast"/>
              <w:widowControl w:val="off"/>
              <w:rPr>
                <w:rFonts w:ascii="Tinos" w:hAnsi="Tinos" w:cs="Tinos"/>
                <w:color w:val="000000"/>
                <w:sz w:val="20"/>
                <w:szCs w:val="20"/>
              </w:rPr>
            </w:pPr>
            <w:r>
              <w:rPr>
                <w:rFonts w:ascii="Tinos" w:hAnsi="Tinos" w:cs="Tinos"/>
                <w:color w:val="000000"/>
                <w:sz w:val="20"/>
                <w:szCs w:val="20"/>
              </w:rPr>
            </w:r>
            <w:r>
              <w:rPr>
                <w:rFonts w:ascii="Tinos" w:hAnsi="Tinos" w:cs="Tinos"/>
                <w:color w:val="000000"/>
                <w:sz w:val="20"/>
                <w:szCs w:val="20"/>
              </w:rPr>
            </w:r>
          </w:p>
        </w:tc>
      </w:tr>
      <w:tr>
        <w:tblPrEx/>
        <w:trPr>
          <w:trHeight w:val="209"/>
        </w:trPr>
        <w:tc>
          <w:tcPr>
            <w:shd w:val="clear" w:color="auto" w:fill="auto"/>
            <w:tcBorders>
              <w:top w:val="none" w:color="000000" w:sz="4" w:space="0"/>
              <w:left w:val="single" w:color="auto" w:sz="4" w:space="0"/>
              <w:bottom w:val="single" w:color="auto" w:sz="4" w:space="0"/>
              <w:right w:val="single" w:color="auto" w:sz="4" w:space="0"/>
            </w:tcBorders>
            <w:tcW w:w="5396" w:type="dxa"/>
            <w:vAlign w:val="center"/>
            <w:textDirection w:val="lrTb"/>
            <w:noWrap/>
          </w:tcPr>
          <w:p>
            <w:pPr>
              <w:ind w:firstLine="34"/>
              <w:jc w:val="both"/>
              <w:spacing w:after="0" w:line="17" w:lineRule="atLeast"/>
              <w:widowControl w:val="off"/>
              <w:rPr>
                <w:rFonts w:ascii="Tinos" w:hAnsi="Tinos" w:cs="Tinos"/>
                <w:bCs/>
                <w:color w:val="000000"/>
                <w:sz w:val="20"/>
                <w:szCs w:val="20"/>
              </w:rPr>
            </w:pPr>
            <w:r>
              <w:rPr>
                <w:rFonts w:ascii="Tinos" w:hAnsi="Tinos" w:eastAsia="Tinos" w:cs="Tinos"/>
                <w:bCs/>
                <w:color w:val="000000"/>
                <w:sz w:val="20"/>
                <w:szCs w:val="20"/>
                <w:lang w:eastAsia="ru-RU"/>
              </w:rPr>
              <w:t xml:space="preserve">Шасси (рама) №</w:t>
            </w:r>
            <w:r>
              <w:rPr>
                <w:rFonts w:ascii="Tinos" w:hAnsi="Tinos" w:cs="Tinos"/>
                <w:bCs/>
                <w:color w:val="000000"/>
                <w:sz w:val="20"/>
                <w:szCs w:val="20"/>
              </w:rPr>
            </w:r>
          </w:p>
        </w:tc>
        <w:tc>
          <w:tcPr>
            <w:shd w:val="clear" w:color="auto" w:fill="auto"/>
            <w:tcBorders>
              <w:top w:val="none" w:color="000000" w:sz="4" w:space="0"/>
              <w:left w:val="none" w:color="000000" w:sz="4" w:space="0"/>
              <w:bottom w:val="single" w:color="auto" w:sz="4" w:space="0"/>
              <w:right w:val="single" w:color="auto" w:sz="4" w:space="0"/>
            </w:tcBorders>
            <w:tcW w:w="4667" w:type="dxa"/>
            <w:vAlign w:val="center"/>
            <w:textDirection w:val="lrTb"/>
            <w:noWrap/>
          </w:tcPr>
          <w:p>
            <w:pPr>
              <w:ind w:firstLine="709"/>
              <w:jc w:val="both"/>
              <w:spacing w:after="0" w:line="17" w:lineRule="atLeast"/>
              <w:widowControl w:val="off"/>
              <w:rPr>
                <w:rFonts w:ascii="Tinos" w:hAnsi="Tinos" w:cs="Tinos"/>
                <w:color w:val="000000"/>
                <w:sz w:val="20"/>
                <w:szCs w:val="20"/>
              </w:rPr>
            </w:pPr>
            <w:r>
              <w:rPr>
                <w:rFonts w:ascii="Tinos" w:hAnsi="Tinos" w:cs="Tinos"/>
                <w:color w:val="000000"/>
                <w:sz w:val="20"/>
                <w:szCs w:val="20"/>
              </w:rPr>
            </w:r>
            <w:r>
              <w:rPr>
                <w:rFonts w:ascii="Tinos" w:hAnsi="Tinos" w:cs="Tinos"/>
                <w:color w:val="000000"/>
                <w:sz w:val="20"/>
                <w:szCs w:val="20"/>
              </w:rPr>
            </w:r>
          </w:p>
        </w:tc>
      </w:tr>
      <w:tr>
        <w:tblPrEx/>
        <w:trPr>
          <w:trHeight w:val="256"/>
        </w:trPr>
        <w:tc>
          <w:tcPr>
            <w:shd w:val="clear" w:color="auto" w:fill="auto"/>
            <w:tcBorders>
              <w:top w:val="none" w:color="000000" w:sz="4" w:space="0"/>
              <w:left w:val="single" w:color="auto" w:sz="4" w:space="0"/>
              <w:bottom w:val="single" w:color="auto" w:sz="4" w:space="0"/>
              <w:right w:val="single" w:color="auto" w:sz="4" w:space="0"/>
            </w:tcBorders>
            <w:tcW w:w="5396" w:type="dxa"/>
            <w:vAlign w:val="center"/>
            <w:textDirection w:val="lrTb"/>
            <w:noWrap/>
          </w:tcPr>
          <w:p>
            <w:pPr>
              <w:ind w:firstLine="34"/>
              <w:jc w:val="both"/>
              <w:spacing w:after="0" w:line="17" w:lineRule="atLeast"/>
              <w:widowControl w:val="off"/>
              <w:rPr>
                <w:rFonts w:ascii="Tinos" w:hAnsi="Tinos" w:cs="Tinos"/>
                <w:bCs/>
                <w:color w:val="000000"/>
                <w:sz w:val="20"/>
                <w:szCs w:val="20"/>
              </w:rPr>
            </w:pPr>
            <w:r>
              <w:rPr>
                <w:rFonts w:ascii="Tinos" w:hAnsi="Tinos" w:eastAsia="Tinos" w:cs="Tinos"/>
                <w:bCs/>
                <w:color w:val="000000"/>
                <w:sz w:val="20"/>
                <w:szCs w:val="20"/>
                <w:lang w:eastAsia="ru-RU"/>
              </w:rPr>
              <w:t xml:space="preserve">Кузов (кабина, прицеп) №</w:t>
            </w:r>
            <w:r>
              <w:rPr>
                <w:rFonts w:ascii="Tinos" w:hAnsi="Tinos" w:cs="Tinos"/>
                <w:bCs/>
                <w:color w:val="000000"/>
                <w:sz w:val="20"/>
                <w:szCs w:val="20"/>
              </w:rPr>
            </w:r>
          </w:p>
        </w:tc>
        <w:tc>
          <w:tcPr>
            <w:shd w:val="clear" w:color="auto" w:fill="auto"/>
            <w:tcBorders>
              <w:top w:val="none" w:color="000000" w:sz="4" w:space="0"/>
              <w:left w:val="none" w:color="000000" w:sz="4" w:space="0"/>
              <w:bottom w:val="single" w:color="auto" w:sz="4" w:space="0"/>
              <w:right w:val="single" w:color="auto" w:sz="4" w:space="0"/>
            </w:tcBorders>
            <w:tcW w:w="4667" w:type="dxa"/>
            <w:vAlign w:val="center"/>
            <w:textDirection w:val="lrTb"/>
            <w:noWrap/>
          </w:tcPr>
          <w:p>
            <w:pPr>
              <w:ind w:firstLine="709"/>
              <w:jc w:val="both"/>
              <w:spacing w:after="0" w:line="17" w:lineRule="atLeast"/>
              <w:widowControl w:val="off"/>
              <w:rPr>
                <w:rFonts w:ascii="Tinos" w:hAnsi="Tinos" w:cs="Tinos"/>
                <w:color w:val="000000"/>
                <w:sz w:val="20"/>
                <w:szCs w:val="20"/>
              </w:rPr>
            </w:pPr>
            <w:r>
              <w:rPr>
                <w:rFonts w:ascii="Tinos" w:hAnsi="Tinos" w:cs="Tinos"/>
                <w:color w:val="000000"/>
                <w:sz w:val="20"/>
                <w:szCs w:val="20"/>
              </w:rPr>
            </w:r>
            <w:r>
              <w:rPr>
                <w:rFonts w:ascii="Tinos" w:hAnsi="Tinos" w:cs="Tinos"/>
                <w:color w:val="000000"/>
                <w:sz w:val="20"/>
                <w:szCs w:val="20"/>
              </w:rPr>
            </w:r>
          </w:p>
        </w:tc>
      </w:tr>
      <w:tr>
        <w:tblPrEx/>
        <w:trPr>
          <w:trHeight w:val="259"/>
        </w:trPr>
        <w:tc>
          <w:tcPr>
            <w:shd w:val="clear" w:color="auto" w:fill="auto"/>
            <w:tcBorders>
              <w:top w:val="none" w:color="000000" w:sz="4" w:space="0"/>
              <w:left w:val="single" w:color="auto" w:sz="4" w:space="0"/>
              <w:bottom w:val="single" w:color="auto" w:sz="4" w:space="0"/>
              <w:right w:val="single" w:color="auto" w:sz="4" w:space="0"/>
            </w:tcBorders>
            <w:tcW w:w="5396" w:type="dxa"/>
            <w:vAlign w:val="center"/>
            <w:textDirection w:val="lrTb"/>
            <w:noWrap/>
          </w:tcPr>
          <w:p>
            <w:pPr>
              <w:ind w:firstLine="34"/>
              <w:jc w:val="both"/>
              <w:spacing w:after="0" w:line="17" w:lineRule="atLeast"/>
              <w:widowControl w:val="off"/>
              <w:rPr>
                <w:rFonts w:ascii="Tinos" w:hAnsi="Tinos" w:cs="Tinos"/>
                <w:bCs/>
                <w:color w:val="000000"/>
                <w:sz w:val="20"/>
                <w:szCs w:val="20"/>
              </w:rPr>
            </w:pPr>
            <w:r>
              <w:rPr>
                <w:rFonts w:ascii="Tinos" w:hAnsi="Tinos" w:eastAsia="Tinos" w:cs="Tinos"/>
                <w:bCs/>
                <w:color w:val="000000"/>
                <w:sz w:val="20"/>
                <w:szCs w:val="20"/>
                <w:lang w:eastAsia="ru-RU"/>
              </w:rPr>
              <w:t xml:space="preserve">Цвет кузова (кабины, прицепа)</w:t>
            </w:r>
            <w:r>
              <w:rPr>
                <w:rFonts w:ascii="Tinos" w:hAnsi="Tinos" w:cs="Tinos"/>
                <w:bCs/>
                <w:color w:val="000000"/>
                <w:sz w:val="20"/>
                <w:szCs w:val="20"/>
              </w:rPr>
            </w:r>
          </w:p>
        </w:tc>
        <w:tc>
          <w:tcPr>
            <w:shd w:val="clear" w:color="auto" w:fill="auto"/>
            <w:tcBorders>
              <w:top w:val="none" w:color="000000" w:sz="4" w:space="0"/>
              <w:left w:val="none" w:color="000000" w:sz="4" w:space="0"/>
              <w:bottom w:val="single" w:color="auto" w:sz="4" w:space="0"/>
              <w:right w:val="single" w:color="auto" w:sz="4" w:space="0"/>
            </w:tcBorders>
            <w:tcW w:w="4667" w:type="dxa"/>
            <w:vAlign w:val="center"/>
            <w:textDirection w:val="lrTb"/>
            <w:noWrap/>
          </w:tcPr>
          <w:p>
            <w:pPr>
              <w:ind w:firstLine="709"/>
              <w:jc w:val="both"/>
              <w:spacing w:after="0" w:line="17" w:lineRule="atLeast"/>
              <w:widowControl w:val="off"/>
              <w:rPr>
                <w:rFonts w:ascii="Tinos" w:hAnsi="Tinos" w:cs="Tinos"/>
                <w:color w:val="000000"/>
                <w:sz w:val="20"/>
                <w:szCs w:val="20"/>
              </w:rPr>
            </w:pPr>
            <w:r>
              <w:rPr>
                <w:rFonts w:ascii="Tinos" w:hAnsi="Tinos" w:cs="Tinos"/>
                <w:color w:val="000000"/>
                <w:sz w:val="20"/>
                <w:szCs w:val="20"/>
              </w:rPr>
            </w:r>
            <w:r>
              <w:rPr>
                <w:rFonts w:ascii="Tinos" w:hAnsi="Tinos" w:cs="Tinos"/>
                <w:color w:val="000000"/>
                <w:sz w:val="20"/>
                <w:szCs w:val="20"/>
              </w:rPr>
            </w:r>
          </w:p>
        </w:tc>
      </w:tr>
      <w:tr>
        <w:tblPrEx/>
        <w:trPr>
          <w:trHeight w:val="136"/>
        </w:trPr>
        <w:tc>
          <w:tcPr>
            <w:shd w:val="clear" w:color="auto" w:fill="auto"/>
            <w:tcBorders>
              <w:top w:val="none" w:color="000000" w:sz="4" w:space="0"/>
              <w:left w:val="single" w:color="auto" w:sz="4" w:space="0"/>
              <w:bottom w:val="single" w:color="auto" w:sz="4" w:space="0"/>
              <w:right w:val="single" w:color="auto" w:sz="4" w:space="0"/>
            </w:tcBorders>
            <w:tcW w:w="5396" w:type="dxa"/>
            <w:vAlign w:val="center"/>
            <w:textDirection w:val="lrTb"/>
            <w:noWrap/>
          </w:tcPr>
          <w:p>
            <w:pPr>
              <w:ind w:firstLine="34"/>
              <w:jc w:val="both"/>
              <w:spacing w:after="0" w:line="17" w:lineRule="atLeast"/>
              <w:widowControl w:val="off"/>
              <w:rPr>
                <w:rFonts w:ascii="Tinos" w:hAnsi="Tinos" w:cs="Tinos"/>
                <w:bCs/>
                <w:sz w:val="20"/>
                <w:szCs w:val="20"/>
              </w:rPr>
            </w:pPr>
            <w:r>
              <w:rPr>
                <w:rFonts w:ascii="Tinos" w:hAnsi="Tinos" w:eastAsia="Tinos" w:cs="Tinos"/>
                <w:bCs/>
                <w:sz w:val="20"/>
                <w:szCs w:val="20"/>
                <w:lang w:eastAsia="ru-RU"/>
              </w:rPr>
              <w:t xml:space="preserve">Мощность двигателя, л.с</w:t>
            </w:r>
            <w:r>
              <w:rPr>
                <w:rFonts w:ascii="Tinos" w:hAnsi="Tinos" w:eastAsia="Tinos" w:cs="Tinos"/>
                <w:bCs/>
                <w:sz w:val="20"/>
                <w:szCs w:val="20"/>
                <w:lang w:eastAsia="ru-RU"/>
              </w:rPr>
              <w:t xml:space="preserve">. (кВт)</w:t>
            </w:r>
            <w:r>
              <w:rPr>
                <w:rFonts w:ascii="Tinos" w:hAnsi="Tinos" w:cs="Tinos"/>
                <w:bCs/>
                <w:sz w:val="20"/>
                <w:szCs w:val="20"/>
              </w:rPr>
            </w:r>
          </w:p>
        </w:tc>
        <w:tc>
          <w:tcPr>
            <w:shd w:val="clear" w:color="auto" w:fill="auto"/>
            <w:tcBorders>
              <w:top w:val="none" w:color="000000" w:sz="4" w:space="0"/>
              <w:left w:val="none" w:color="000000" w:sz="4" w:space="0"/>
              <w:bottom w:val="single" w:color="auto" w:sz="4" w:space="0"/>
              <w:right w:val="single" w:color="auto" w:sz="4" w:space="0"/>
            </w:tcBorders>
            <w:tcW w:w="4667" w:type="dxa"/>
            <w:vAlign w:val="center"/>
            <w:textDirection w:val="lrTb"/>
            <w:noWrap/>
          </w:tcPr>
          <w:p>
            <w:pPr>
              <w:ind w:firstLine="709"/>
              <w:jc w:val="both"/>
              <w:spacing w:after="0" w:line="17" w:lineRule="atLeast"/>
              <w:widowControl w:val="off"/>
              <w:rPr>
                <w:rFonts w:ascii="Tinos" w:hAnsi="Tinos" w:cs="Tinos"/>
                <w:sz w:val="20"/>
                <w:szCs w:val="20"/>
              </w:rPr>
            </w:pPr>
            <w:r>
              <w:rPr>
                <w:rFonts w:ascii="Tinos" w:hAnsi="Tinos" w:cs="Tinos"/>
                <w:sz w:val="20"/>
                <w:szCs w:val="20"/>
              </w:rPr>
            </w:r>
            <w:r>
              <w:rPr>
                <w:rFonts w:ascii="Tinos" w:hAnsi="Tinos" w:cs="Tinos"/>
                <w:sz w:val="20"/>
                <w:szCs w:val="20"/>
              </w:rPr>
            </w:r>
          </w:p>
        </w:tc>
      </w:tr>
      <w:tr>
        <w:tblPrEx/>
        <w:trPr>
          <w:trHeight w:val="181"/>
        </w:trPr>
        <w:tc>
          <w:tcPr>
            <w:shd w:val="clear" w:color="auto" w:fill="auto"/>
            <w:tcBorders>
              <w:top w:val="none" w:color="000000" w:sz="4" w:space="0"/>
              <w:left w:val="single" w:color="auto" w:sz="4" w:space="0"/>
              <w:bottom w:val="single" w:color="auto" w:sz="4" w:space="0"/>
              <w:right w:val="single" w:color="auto" w:sz="4" w:space="0"/>
            </w:tcBorders>
            <w:tcW w:w="5396" w:type="dxa"/>
            <w:vAlign w:val="center"/>
            <w:textDirection w:val="lrTb"/>
            <w:noWrap/>
          </w:tcPr>
          <w:p>
            <w:pPr>
              <w:ind w:firstLine="34"/>
              <w:jc w:val="both"/>
              <w:spacing w:after="0" w:line="17" w:lineRule="atLeast"/>
              <w:widowControl w:val="off"/>
              <w:rPr>
                <w:rFonts w:ascii="Tinos" w:hAnsi="Tinos" w:cs="Tinos"/>
                <w:bCs/>
                <w:sz w:val="20"/>
                <w:szCs w:val="20"/>
              </w:rPr>
            </w:pPr>
            <w:r>
              <w:rPr>
                <w:rFonts w:ascii="Tinos" w:hAnsi="Tinos" w:eastAsia="Tinos" w:cs="Tinos"/>
                <w:bCs/>
                <w:sz w:val="20"/>
                <w:szCs w:val="20"/>
                <w:lang w:eastAsia="ru-RU"/>
              </w:rPr>
              <w:t xml:space="preserve">Рабочий объем двигателя, куб. см</w:t>
            </w:r>
            <w:r>
              <w:rPr>
                <w:rFonts w:ascii="Tinos" w:hAnsi="Tinos" w:cs="Tinos"/>
                <w:bCs/>
                <w:sz w:val="20"/>
                <w:szCs w:val="20"/>
              </w:rPr>
            </w:r>
          </w:p>
        </w:tc>
        <w:tc>
          <w:tcPr>
            <w:shd w:val="clear" w:color="auto" w:fill="auto"/>
            <w:tcBorders>
              <w:top w:val="none" w:color="000000" w:sz="4" w:space="0"/>
              <w:left w:val="none" w:color="000000" w:sz="4" w:space="0"/>
              <w:bottom w:val="single" w:color="auto" w:sz="4" w:space="0"/>
              <w:right w:val="single" w:color="auto" w:sz="4" w:space="0"/>
            </w:tcBorders>
            <w:tcW w:w="4667" w:type="dxa"/>
            <w:vAlign w:val="center"/>
            <w:textDirection w:val="lrTb"/>
            <w:noWrap/>
          </w:tcPr>
          <w:p>
            <w:pPr>
              <w:ind w:firstLine="709"/>
              <w:jc w:val="both"/>
              <w:spacing w:after="0" w:line="17" w:lineRule="atLeast"/>
              <w:widowControl w:val="off"/>
              <w:rPr>
                <w:rFonts w:ascii="Tinos" w:hAnsi="Tinos" w:cs="Tinos"/>
                <w:sz w:val="20"/>
                <w:szCs w:val="20"/>
              </w:rPr>
            </w:pPr>
            <w:r>
              <w:rPr>
                <w:rFonts w:ascii="Tinos" w:hAnsi="Tinos" w:cs="Tinos"/>
                <w:sz w:val="20"/>
                <w:szCs w:val="20"/>
              </w:rPr>
            </w:r>
            <w:r>
              <w:rPr>
                <w:rFonts w:ascii="Tinos" w:hAnsi="Tinos" w:cs="Tinos"/>
                <w:sz w:val="20"/>
                <w:szCs w:val="20"/>
              </w:rPr>
            </w:r>
          </w:p>
        </w:tc>
      </w:tr>
      <w:tr>
        <w:tblPrEx/>
        <w:trPr>
          <w:trHeight w:val="228"/>
        </w:trPr>
        <w:tc>
          <w:tcPr>
            <w:shd w:val="clear" w:color="auto" w:fill="auto"/>
            <w:tcBorders>
              <w:top w:val="none" w:color="000000" w:sz="4" w:space="0"/>
              <w:left w:val="single" w:color="auto" w:sz="4" w:space="0"/>
              <w:bottom w:val="single" w:color="auto" w:sz="4" w:space="0"/>
              <w:right w:val="single" w:color="auto" w:sz="4" w:space="0"/>
            </w:tcBorders>
            <w:tcW w:w="5396" w:type="dxa"/>
            <w:vAlign w:val="center"/>
            <w:textDirection w:val="lrTb"/>
            <w:noWrap/>
          </w:tcPr>
          <w:p>
            <w:pPr>
              <w:ind w:firstLine="34"/>
              <w:jc w:val="both"/>
              <w:spacing w:after="0" w:line="17" w:lineRule="atLeast"/>
              <w:widowControl w:val="off"/>
              <w:rPr>
                <w:rFonts w:ascii="Tinos" w:hAnsi="Tinos" w:cs="Tinos"/>
                <w:bCs/>
                <w:sz w:val="20"/>
                <w:szCs w:val="20"/>
              </w:rPr>
            </w:pPr>
            <w:r>
              <w:rPr>
                <w:rFonts w:ascii="Tinos" w:hAnsi="Tinos" w:eastAsia="Tinos" w:cs="Tinos"/>
                <w:bCs/>
                <w:sz w:val="20"/>
                <w:szCs w:val="20"/>
                <w:lang w:eastAsia="ru-RU"/>
              </w:rPr>
              <w:t xml:space="preserve">Тип двигателя</w:t>
            </w:r>
            <w:r>
              <w:rPr>
                <w:rFonts w:ascii="Tinos" w:hAnsi="Tinos" w:cs="Tinos"/>
                <w:bCs/>
                <w:sz w:val="20"/>
                <w:szCs w:val="20"/>
              </w:rPr>
            </w:r>
          </w:p>
        </w:tc>
        <w:tc>
          <w:tcPr>
            <w:shd w:val="clear" w:color="auto" w:fill="auto"/>
            <w:tcBorders>
              <w:top w:val="none" w:color="000000" w:sz="4" w:space="0"/>
              <w:left w:val="none" w:color="000000" w:sz="4" w:space="0"/>
              <w:bottom w:val="single" w:color="auto" w:sz="4" w:space="0"/>
              <w:right w:val="single" w:color="auto" w:sz="4" w:space="0"/>
            </w:tcBorders>
            <w:tcW w:w="4667" w:type="dxa"/>
            <w:vAlign w:val="center"/>
            <w:textDirection w:val="lrTb"/>
            <w:noWrap/>
          </w:tcPr>
          <w:p>
            <w:pPr>
              <w:ind w:firstLine="709"/>
              <w:jc w:val="both"/>
              <w:spacing w:after="0" w:line="17" w:lineRule="atLeast"/>
              <w:widowControl w:val="off"/>
              <w:rPr>
                <w:rFonts w:ascii="Tinos" w:hAnsi="Tinos" w:cs="Tinos"/>
                <w:sz w:val="20"/>
                <w:szCs w:val="20"/>
              </w:rPr>
            </w:pPr>
            <w:r>
              <w:rPr>
                <w:rFonts w:ascii="Tinos" w:hAnsi="Tinos" w:cs="Tinos"/>
                <w:sz w:val="20"/>
                <w:szCs w:val="20"/>
              </w:rPr>
            </w:r>
            <w:r>
              <w:rPr>
                <w:rFonts w:ascii="Tinos" w:hAnsi="Tinos" w:cs="Tinos"/>
                <w:sz w:val="20"/>
                <w:szCs w:val="20"/>
              </w:rPr>
            </w:r>
          </w:p>
        </w:tc>
      </w:tr>
      <w:tr>
        <w:tblPrEx/>
        <w:trPr>
          <w:trHeight w:val="228"/>
        </w:trPr>
        <w:tc>
          <w:tcPr>
            <w:shd w:val="clear" w:color="auto" w:fill="auto"/>
            <w:tcBorders>
              <w:top w:val="none" w:color="000000" w:sz="4" w:space="0"/>
              <w:left w:val="single" w:color="auto" w:sz="4" w:space="0"/>
              <w:bottom w:val="single" w:color="auto" w:sz="4" w:space="0"/>
              <w:right w:val="single" w:color="auto" w:sz="4" w:space="0"/>
            </w:tcBorders>
            <w:tcW w:w="5396" w:type="dxa"/>
            <w:vAlign w:val="center"/>
            <w:textDirection w:val="lrTb"/>
            <w:noWrap/>
          </w:tcPr>
          <w:p>
            <w:pPr>
              <w:ind w:firstLine="34"/>
              <w:jc w:val="both"/>
              <w:spacing w:after="0" w:line="17" w:lineRule="atLeast"/>
              <w:widowControl w:val="off"/>
              <w:rPr>
                <w:rFonts w:ascii="Tinos" w:hAnsi="Tinos" w:cs="Tinos"/>
                <w:bCs/>
                <w:sz w:val="20"/>
                <w:szCs w:val="20"/>
              </w:rPr>
            </w:pPr>
            <w:r>
              <w:rPr>
                <w:rFonts w:ascii="Tinos" w:hAnsi="Tinos" w:eastAsia="Tinos" w:cs="Tinos"/>
                <w:bCs/>
                <w:sz w:val="20"/>
                <w:szCs w:val="20"/>
                <w:lang w:eastAsia="ru-RU"/>
              </w:rPr>
              <w:t xml:space="preserve">Заводской номер подъемных сооружений</w:t>
            </w:r>
            <w:r>
              <w:rPr>
                <w:rFonts w:ascii="Tinos" w:hAnsi="Tinos" w:cs="Tinos"/>
                <w:bCs/>
                <w:sz w:val="20"/>
                <w:szCs w:val="20"/>
              </w:rPr>
            </w:r>
          </w:p>
        </w:tc>
        <w:tc>
          <w:tcPr>
            <w:shd w:val="clear" w:color="auto" w:fill="auto"/>
            <w:tcBorders>
              <w:top w:val="none" w:color="000000" w:sz="4" w:space="0"/>
              <w:left w:val="none" w:color="000000" w:sz="4" w:space="0"/>
              <w:bottom w:val="single" w:color="auto" w:sz="4" w:space="0"/>
              <w:right w:val="single" w:color="auto" w:sz="4" w:space="0"/>
            </w:tcBorders>
            <w:tcW w:w="4667" w:type="dxa"/>
            <w:vAlign w:val="center"/>
            <w:textDirection w:val="lrTb"/>
            <w:noWrap/>
          </w:tcPr>
          <w:p>
            <w:pPr>
              <w:ind w:firstLine="709"/>
              <w:jc w:val="both"/>
              <w:spacing w:after="0" w:line="17" w:lineRule="atLeast"/>
              <w:widowControl w:val="off"/>
              <w:rPr>
                <w:rFonts w:ascii="Tinos" w:hAnsi="Tinos" w:cs="Tinos"/>
                <w:sz w:val="20"/>
                <w:szCs w:val="20"/>
              </w:rPr>
            </w:pPr>
            <w:r>
              <w:rPr>
                <w:rFonts w:ascii="Tinos" w:hAnsi="Tinos" w:cs="Tinos"/>
                <w:sz w:val="20"/>
                <w:szCs w:val="20"/>
              </w:rPr>
            </w:r>
            <w:r>
              <w:rPr>
                <w:rFonts w:ascii="Tinos" w:hAnsi="Tinos" w:cs="Tinos"/>
                <w:sz w:val="20"/>
                <w:szCs w:val="20"/>
              </w:rPr>
            </w:r>
          </w:p>
        </w:tc>
      </w:tr>
      <w:tr>
        <w:tblPrEx/>
        <w:trPr>
          <w:trHeight w:val="260"/>
        </w:trPr>
        <w:tc>
          <w:tcPr>
            <w:shd w:val="clear" w:color="auto" w:fill="auto"/>
            <w:tcBorders>
              <w:top w:val="none" w:color="000000" w:sz="4" w:space="0"/>
              <w:left w:val="single" w:color="auto" w:sz="4" w:space="0"/>
              <w:bottom w:val="single" w:color="auto" w:sz="4" w:space="0"/>
              <w:right w:val="single" w:color="auto" w:sz="4" w:space="0"/>
            </w:tcBorders>
            <w:tcW w:w="5396" w:type="dxa"/>
            <w:vAlign w:val="center"/>
            <w:textDirection w:val="lrTb"/>
            <w:noWrap/>
          </w:tcPr>
          <w:p>
            <w:pPr>
              <w:ind w:firstLine="34"/>
              <w:jc w:val="both"/>
              <w:spacing w:after="0" w:line="17" w:lineRule="atLeast"/>
              <w:widowControl w:val="off"/>
              <w:rPr>
                <w:rFonts w:ascii="Tinos" w:hAnsi="Tinos" w:cs="Tinos"/>
                <w:bCs/>
                <w:sz w:val="20"/>
                <w:szCs w:val="20"/>
              </w:rPr>
            </w:pPr>
            <w:r>
              <w:rPr>
                <w:rFonts w:ascii="Tinos" w:hAnsi="Tinos" w:eastAsia="Tinos" w:cs="Tinos"/>
                <w:bCs/>
                <w:sz w:val="20"/>
                <w:szCs w:val="20"/>
                <w:lang w:eastAsia="ru-RU"/>
              </w:rPr>
              <w:t xml:space="preserve">Экологический класс</w:t>
            </w:r>
            <w:r>
              <w:rPr>
                <w:rFonts w:ascii="Tinos" w:hAnsi="Tinos" w:cs="Tinos"/>
                <w:bCs/>
                <w:sz w:val="20"/>
                <w:szCs w:val="20"/>
              </w:rPr>
            </w:r>
          </w:p>
        </w:tc>
        <w:tc>
          <w:tcPr>
            <w:shd w:val="clear" w:color="auto" w:fill="auto"/>
            <w:tcBorders>
              <w:top w:val="none" w:color="000000" w:sz="4" w:space="0"/>
              <w:left w:val="none" w:color="000000" w:sz="4" w:space="0"/>
              <w:bottom w:val="single" w:color="auto" w:sz="4" w:space="0"/>
              <w:right w:val="single" w:color="auto" w:sz="4" w:space="0"/>
            </w:tcBorders>
            <w:tcW w:w="4667" w:type="dxa"/>
            <w:vAlign w:val="center"/>
            <w:textDirection w:val="lrTb"/>
            <w:noWrap/>
          </w:tcPr>
          <w:p>
            <w:pPr>
              <w:ind w:firstLine="709"/>
              <w:jc w:val="both"/>
              <w:spacing w:after="0" w:line="17" w:lineRule="atLeast"/>
              <w:widowControl w:val="off"/>
              <w:rPr>
                <w:rFonts w:ascii="Tinos" w:hAnsi="Tinos" w:cs="Tinos"/>
                <w:sz w:val="20"/>
                <w:szCs w:val="20"/>
              </w:rPr>
            </w:pPr>
            <w:r>
              <w:rPr>
                <w:rFonts w:ascii="Tinos" w:hAnsi="Tinos" w:cs="Tinos"/>
                <w:sz w:val="20"/>
                <w:szCs w:val="20"/>
              </w:rPr>
            </w:r>
            <w:r>
              <w:rPr>
                <w:rFonts w:ascii="Tinos" w:hAnsi="Tinos" w:cs="Tinos"/>
                <w:sz w:val="20"/>
                <w:szCs w:val="20"/>
              </w:rPr>
            </w:r>
          </w:p>
        </w:tc>
      </w:tr>
      <w:tr>
        <w:tblPrEx/>
        <w:trPr>
          <w:trHeight w:val="135"/>
        </w:trPr>
        <w:tc>
          <w:tcPr>
            <w:shd w:val="clear" w:color="auto" w:fill="auto"/>
            <w:tcBorders>
              <w:top w:val="none" w:color="000000" w:sz="4" w:space="0"/>
              <w:left w:val="single" w:color="auto" w:sz="4" w:space="0"/>
              <w:bottom w:val="single" w:color="auto" w:sz="4" w:space="0"/>
              <w:right w:val="single" w:color="auto" w:sz="4" w:space="0"/>
            </w:tcBorders>
            <w:tcW w:w="5396" w:type="dxa"/>
            <w:vAlign w:val="center"/>
            <w:textDirection w:val="lrTb"/>
            <w:noWrap/>
          </w:tcPr>
          <w:p>
            <w:pPr>
              <w:ind w:firstLine="34"/>
              <w:jc w:val="both"/>
              <w:spacing w:after="0" w:line="17" w:lineRule="atLeast"/>
              <w:widowControl w:val="off"/>
              <w:rPr>
                <w:rFonts w:ascii="Tinos" w:hAnsi="Tinos" w:cs="Tinos"/>
                <w:bCs/>
                <w:sz w:val="20"/>
                <w:szCs w:val="20"/>
              </w:rPr>
            </w:pPr>
            <w:r>
              <w:rPr>
                <w:rFonts w:ascii="Tinos" w:hAnsi="Tinos" w:eastAsia="Tinos" w:cs="Tinos"/>
                <w:bCs/>
                <w:sz w:val="20"/>
                <w:szCs w:val="20"/>
                <w:lang w:eastAsia="ru-RU"/>
              </w:rPr>
              <w:t xml:space="preserve">Разрешенная максимальная масса, кг</w:t>
            </w:r>
            <w:r>
              <w:rPr>
                <w:rFonts w:ascii="Tinos" w:hAnsi="Tinos" w:cs="Tinos"/>
                <w:bCs/>
                <w:sz w:val="20"/>
                <w:szCs w:val="20"/>
              </w:rPr>
            </w:r>
          </w:p>
        </w:tc>
        <w:tc>
          <w:tcPr>
            <w:shd w:val="clear" w:color="auto" w:fill="auto"/>
            <w:tcBorders>
              <w:top w:val="none" w:color="000000" w:sz="4" w:space="0"/>
              <w:left w:val="none" w:color="000000" w:sz="4" w:space="0"/>
              <w:bottom w:val="single" w:color="auto" w:sz="4" w:space="0"/>
              <w:right w:val="single" w:color="auto" w:sz="4" w:space="0"/>
            </w:tcBorders>
            <w:tcW w:w="4667" w:type="dxa"/>
            <w:vAlign w:val="center"/>
            <w:textDirection w:val="lrTb"/>
            <w:noWrap/>
          </w:tcPr>
          <w:p>
            <w:pPr>
              <w:ind w:firstLine="709"/>
              <w:jc w:val="both"/>
              <w:spacing w:after="0" w:line="17" w:lineRule="atLeast"/>
              <w:widowControl w:val="off"/>
              <w:rPr>
                <w:rFonts w:ascii="Tinos" w:hAnsi="Tinos" w:cs="Tinos"/>
                <w:sz w:val="20"/>
                <w:szCs w:val="20"/>
              </w:rPr>
            </w:pPr>
            <w:r>
              <w:rPr>
                <w:rFonts w:ascii="Tinos" w:hAnsi="Tinos" w:cs="Tinos"/>
                <w:sz w:val="20"/>
                <w:szCs w:val="20"/>
              </w:rPr>
            </w:r>
            <w:r>
              <w:rPr>
                <w:rFonts w:ascii="Tinos" w:hAnsi="Tinos" w:cs="Tinos"/>
                <w:sz w:val="20"/>
                <w:szCs w:val="20"/>
              </w:rPr>
            </w:r>
          </w:p>
        </w:tc>
      </w:tr>
      <w:tr>
        <w:tblPrEx/>
        <w:trPr>
          <w:trHeight w:val="182"/>
        </w:trPr>
        <w:tc>
          <w:tcPr>
            <w:shd w:val="clear" w:color="auto" w:fill="auto"/>
            <w:tcBorders>
              <w:top w:val="none" w:color="000000" w:sz="4" w:space="0"/>
              <w:left w:val="single" w:color="auto" w:sz="4" w:space="0"/>
              <w:bottom w:val="single" w:color="auto" w:sz="4" w:space="0"/>
              <w:right w:val="single" w:color="auto" w:sz="4" w:space="0"/>
            </w:tcBorders>
            <w:tcW w:w="5396" w:type="dxa"/>
            <w:vAlign w:val="center"/>
            <w:textDirection w:val="lrTb"/>
            <w:noWrap/>
          </w:tcPr>
          <w:p>
            <w:pPr>
              <w:ind w:firstLine="34"/>
              <w:jc w:val="both"/>
              <w:spacing w:after="0" w:line="17" w:lineRule="atLeast"/>
              <w:widowControl w:val="off"/>
              <w:rPr>
                <w:rFonts w:ascii="Tinos" w:hAnsi="Tinos" w:cs="Tinos"/>
                <w:bCs/>
                <w:sz w:val="20"/>
                <w:szCs w:val="20"/>
              </w:rPr>
            </w:pPr>
            <w:r>
              <w:rPr>
                <w:rFonts w:ascii="Tinos" w:hAnsi="Tinos" w:eastAsia="Tinos" w:cs="Tinos"/>
                <w:bCs/>
                <w:sz w:val="20"/>
                <w:szCs w:val="20"/>
                <w:lang w:eastAsia="ru-RU"/>
              </w:rPr>
              <w:t xml:space="preserve">Масса без нагрузки, кг</w:t>
            </w:r>
            <w:r>
              <w:rPr>
                <w:rFonts w:ascii="Tinos" w:hAnsi="Tinos" w:cs="Tinos"/>
                <w:bCs/>
                <w:sz w:val="20"/>
                <w:szCs w:val="20"/>
              </w:rPr>
            </w:r>
          </w:p>
        </w:tc>
        <w:tc>
          <w:tcPr>
            <w:shd w:val="clear" w:color="auto" w:fill="auto"/>
            <w:tcBorders>
              <w:top w:val="none" w:color="000000" w:sz="4" w:space="0"/>
              <w:left w:val="none" w:color="000000" w:sz="4" w:space="0"/>
              <w:bottom w:val="single" w:color="auto" w:sz="4" w:space="0"/>
              <w:right w:val="single" w:color="auto" w:sz="4" w:space="0"/>
            </w:tcBorders>
            <w:tcW w:w="4667" w:type="dxa"/>
            <w:vAlign w:val="center"/>
            <w:textDirection w:val="lrTb"/>
            <w:noWrap/>
          </w:tcPr>
          <w:p>
            <w:pPr>
              <w:ind w:firstLine="709"/>
              <w:jc w:val="both"/>
              <w:spacing w:after="0" w:line="17" w:lineRule="atLeast"/>
              <w:widowControl w:val="off"/>
              <w:rPr>
                <w:rFonts w:ascii="Tinos" w:hAnsi="Tinos" w:cs="Tinos"/>
                <w:sz w:val="20"/>
                <w:szCs w:val="20"/>
              </w:rPr>
            </w:pPr>
            <w:r>
              <w:rPr>
                <w:rFonts w:ascii="Tinos" w:hAnsi="Tinos" w:cs="Tinos"/>
                <w:sz w:val="20"/>
                <w:szCs w:val="20"/>
              </w:rPr>
            </w:r>
            <w:r>
              <w:rPr>
                <w:rFonts w:ascii="Tinos" w:hAnsi="Tinos" w:cs="Tinos"/>
                <w:sz w:val="20"/>
                <w:szCs w:val="20"/>
              </w:rPr>
            </w:r>
          </w:p>
        </w:tc>
      </w:tr>
      <w:tr>
        <w:tblPrEx/>
        <w:trPr>
          <w:trHeight w:val="227"/>
        </w:trPr>
        <w:tc>
          <w:tcPr>
            <w:shd w:val="clear" w:color="auto" w:fill="auto"/>
            <w:tcBorders>
              <w:top w:val="none" w:color="000000" w:sz="4" w:space="0"/>
              <w:left w:val="single" w:color="auto" w:sz="4" w:space="0"/>
              <w:bottom w:val="single" w:color="auto" w:sz="4" w:space="0"/>
              <w:right w:val="single" w:color="auto" w:sz="4" w:space="0"/>
            </w:tcBorders>
            <w:tcW w:w="5396" w:type="dxa"/>
            <w:vAlign w:val="center"/>
            <w:textDirection w:val="lrTb"/>
            <w:noWrap/>
          </w:tcPr>
          <w:p>
            <w:pPr>
              <w:ind w:firstLine="34"/>
              <w:jc w:val="both"/>
              <w:spacing w:after="0" w:line="17" w:lineRule="atLeast"/>
              <w:widowControl w:val="off"/>
              <w:rPr>
                <w:rFonts w:ascii="Tinos" w:hAnsi="Tinos" w:cs="Tinos"/>
                <w:bCs/>
                <w:sz w:val="20"/>
                <w:szCs w:val="20"/>
              </w:rPr>
            </w:pPr>
            <w:r>
              <w:rPr>
                <w:rFonts w:ascii="Tinos" w:hAnsi="Tinos" w:eastAsia="Tinos" w:cs="Tinos"/>
                <w:bCs/>
                <w:sz w:val="20"/>
                <w:szCs w:val="20"/>
                <w:lang w:eastAsia="ru-RU"/>
              </w:rPr>
              <w:t xml:space="preserve">Изготовитель ТС (страна)</w:t>
            </w:r>
            <w:r>
              <w:rPr>
                <w:rFonts w:ascii="Tinos" w:hAnsi="Tinos" w:cs="Tinos"/>
                <w:bCs/>
                <w:sz w:val="20"/>
                <w:szCs w:val="20"/>
              </w:rPr>
            </w:r>
          </w:p>
        </w:tc>
        <w:tc>
          <w:tcPr>
            <w:shd w:val="clear" w:color="auto" w:fill="auto"/>
            <w:tcBorders>
              <w:top w:val="none" w:color="000000" w:sz="4" w:space="0"/>
              <w:left w:val="none" w:color="000000" w:sz="4" w:space="0"/>
              <w:bottom w:val="single" w:color="auto" w:sz="4" w:space="0"/>
              <w:right w:val="single" w:color="auto" w:sz="4" w:space="0"/>
            </w:tcBorders>
            <w:tcW w:w="4667" w:type="dxa"/>
            <w:vAlign w:val="center"/>
            <w:textDirection w:val="lrTb"/>
            <w:noWrap/>
          </w:tcPr>
          <w:p>
            <w:pPr>
              <w:ind w:firstLine="709"/>
              <w:jc w:val="both"/>
              <w:spacing w:after="0" w:line="17" w:lineRule="atLeast"/>
              <w:widowControl w:val="off"/>
              <w:rPr>
                <w:rFonts w:ascii="Tinos" w:hAnsi="Tinos" w:cs="Tinos"/>
                <w:sz w:val="20"/>
                <w:szCs w:val="20"/>
              </w:rPr>
            </w:pPr>
            <w:r>
              <w:rPr>
                <w:rFonts w:ascii="Tinos" w:hAnsi="Tinos" w:cs="Tinos"/>
                <w:sz w:val="20"/>
                <w:szCs w:val="20"/>
              </w:rPr>
            </w:r>
            <w:r>
              <w:rPr>
                <w:rFonts w:ascii="Tinos" w:hAnsi="Tinos" w:cs="Tinos"/>
                <w:sz w:val="20"/>
                <w:szCs w:val="20"/>
              </w:rPr>
            </w:r>
          </w:p>
        </w:tc>
      </w:tr>
      <w:tr>
        <w:tblPrEx/>
        <w:trPr>
          <w:trHeight w:val="132"/>
        </w:trPr>
        <w:tc>
          <w:tcPr>
            <w:shd w:val="clear" w:color="auto" w:fill="auto"/>
            <w:tcBorders>
              <w:top w:val="none" w:color="000000" w:sz="4" w:space="0"/>
              <w:left w:val="single" w:color="auto" w:sz="4" w:space="0"/>
              <w:bottom w:val="single" w:color="auto" w:sz="4" w:space="0"/>
              <w:right w:val="single" w:color="auto" w:sz="4" w:space="0"/>
            </w:tcBorders>
            <w:tcW w:w="5396" w:type="dxa"/>
            <w:vAlign w:val="center"/>
            <w:textDirection w:val="lrTb"/>
            <w:noWrap/>
          </w:tcPr>
          <w:p>
            <w:pPr>
              <w:ind w:firstLine="34"/>
              <w:jc w:val="both"/>
              <w:spacing w:after="0" w:line="17" w:lineRule="atLeast"/>
              <w:widowControl w:val="off"/>
              <w:rPr>
                <w:rFonts w:ascii="Tinos" w:hAnsi="Tinos" w:cs="Tinos"/>
                <w:bCs/>
                <w:sz w:val="20"/>
                <w:szCs w:val="20"/>
              </w:rPr>
            </w:pPr>
            <w:r>
              <w:rPr>
                <w:rFonts w:ascii="Tinos" w:hAnsi="Tinos" w:eastAsia="Tinos" w:cs="Tinos"/>
                <w:bCs/>
                <w:sz w:val="20"/>
                <w:szCs w:val="20"/>
                <w:lang w:eastAsia="ru-RU"/>
              </w:rPr>
              <w:t xml:space="preserve">Наименование организации выдавшей паспорт</w:t>
            </w:r>
            <w:r>
              <w:rPr>
                <w:rFonts w:ascii="Tinos" w:hAnsi="Tinos" w:cs="Tinos"/>
                <w:bCs/>
                <w:sz w:val="20"/>
                <w:szCs w:val="20"/>
              </w:rPr>
            </w:r>
          </w:p>
        </w:tc>
        <w:tc>
          <w:tcPr>
            <w:shd w:val="clear" w:color="auto" w:fill="auto"/>
            <w:tcBorders>
              <w:top w:val="none" w:color="000000" w:sz="4" w:space="0"/>
              <w:left w:val="none" w:color="000000" w:sz="4" w:space="0"/>
              <w:bottom w:val="single" w:color="auto" w:sz="4" w:space="0"/>
              <w:right w:val="single" w:color="auto" w:sz="4" w:space="0"/>
            </w:tcBorders>
            <w:tcW w:w="4667" w:type="dxa"/>
            <w:vAlign w:val="center"/>
            <w:textDirection w:val="lrTb"/>
            <w:noWrap/>
          </w:tcPr>
          <w:p>
            <w:pPr>
              <w:ind w:firstLine="709"/>
              <w:jc w:val="both"/>
              <w:spacing w:after="0" w:line="17" w:lineRule="atLeast"/>
              <w:widowControl w:val="off"/>
              <w:rPr>
                <w:rFonts w:ascii="Tinos" w:hAnsi="Tinos" w:cs="Tinos"/>
                <w:sz w:val="20"/>
                <w:szCs w:val="20"/>
              </w:rPr>
            </w:pPr>
            <w:r>
              <w:rPr>
                <w:rFonts w:ascii="Tinos" w:hAnsi="Tinos" w:cs="Tinos"/>
                <w:sz w:val="20"/>
                <w:szCs w:val="20"/>
              </w:rPr>
            </w:r>
            <w:r>
              <w:rPr>
                <w:rFonts w:ascii="Tinos" w:hAnsi="Tinos" w:cs="Tinos"/>
                <w:sz w:val="20"/>
                <w:szCs w:val="20"/>
              </w:rPr>
            </w:r>
          </w:p>
        </w:tc>
      </w:tr>
      <w:tr>
        <w:tblPrEx/>
        <w:trPr>
          <w:trHeight w:val="164"/>
        </w:trPr>
        <w:tc>
          <w:tcPr>
            <w:shd w:val="clear" w:color="auto" w:fill="auto"/>
            <w:tcBorders>
              <w:top w:val="none" w:color="000000" w:sz="4" w:space="0"/>
              <w:left w:val="single" w:color="auto" w:sz="4" w:space="0"/>
              <w:bottom w:val="single" w:color="auto" w:sz="4" w:space="0"/>
              <w:right w:val="single" w:color="auto" w:sz="4" w:space="0"/>
            </w:tcBorders>
            <w:tcW w:w="5396" w:type="dxa"/>
            <w:vAlign w:val="center"/>
            <w:textDirection w:val="lrTb"/>
            <w:noWrap/>
          </w:tcPr>
          <w:p>
            <w:pPr>
              <w:ind w:firstLine="34"/>
              <w:jc w:val="both"/>
              <w:spacing w:after="0" w:line="17" w:lineRule="atLeast"/>
              <w:widowControl w:val="off"/>
              <w:rPr>
                <w:rFonts w:ascii="Tinos" w:hAnsi="Tinos" w:cs="Tinos"/>
                <w:bCs/>
                <w:sz w:val="20"/>
                <w:szCs w:val="20"/>
              </w:rPr>
            </w:pPr>
            <w:r>
              <w:rPr>
                <w:rFonts w:ascii="Tinos" w:hAnsi="Tinos" w:eastAsia="Tinos" w:cs="Tinos"/>
                <w:bCs/>
                <w:sz w:val="20"/>
                <w:szCs w:val="20"/>
                <w:lang w:eastAsia="ru-RU"/>
              </w:rPr>
              <w:t xml:space="preserve">Адрес организации выдавшей паспорт</w:t>
            </w:r>
            <w:r>
              <w:rPr>
                <w:rFonts w:ascii="Tinos" w:hAnsi="Tinos" w:cs="Tinos"/>
                <w:bCs/>
                <w:sz w:val="20"/>
                <w:szCs w:val="20"/>
              </w:rPr>
            </w:r>
          </w:p>
        </w:tc>
        <w:tc>
          <w:tcPr>
            <w:shd w:val="clear" w:color="auto" w:fill="auto"/>
            <w:tcBorders>
              <w:top w:val="none" w:color="000000" w:sz="4" w:space="0"/>
              <w:left w:val="none" w:color="000000" w:sz="4" w:space="0"/>
              <w:bottom w:val="single" w:color="auto" w:sz="4" w:space="0"/>
              <w:right w:val="single" w:color="auto" w:sz="4" w:space="0"/>
            </w:tcBorders>
            <w:tcW w:w="4667" w:type="dxa"/>
            <w:vAlign w:val="center"/>
            <w:textDirection w:val="lrTb"/>
            <w:noWrap/>
          </w:tcPr>
          <w:p>
            <w:pPr>
              <w:ind w:firstLine="709"/>
              <w:jc w:val="both"/>
              <w:spacing w:after="0" w:line="17" w:lineRule="atLeast"/>
              <w:widowControl w:val="off"/>
              <w:rPr>
                <w:rFonts w:ascii="Tinos" w:hAnsi="Tinos" w:cs="Tinos"/>
                <w:sz w:val="20"/>
                <w:szCs w:val="20"/>
              </w:rPr>
            </w:pPr>
            <w:r>
              <w:rPr>
                <w:rFonts w:ascii="Tinos" w:hAnsi="Tinos" w:cs="Tinos"/>
                <w:sz w:val="20"/>
                <w:szCs w:val="20"/>
              </w:rPr>
            </w:r>
            <w:r>
              <w:rPr>
                <w:rFonts w:ascii="Tinos" w:hAnsi="Tinos" w:cs="Tinos"/>
                <w:sz w:val="20"/>
                <w:szCs w:val="20"/>
              </w:rPr>
            </w:r>
          </w:p>
        </w:tc>
      </w:tr>
      <w:tr>
        <w:tblPrEx/>
        <w:trPr>
          <w:trHeight w:val="210"/>
        </w:trPr>
        <w:tc>
          <w:tcPr>
            <w:shd w:val="clear" w:color="auto" w:fill="auto"/>
            <w:tcBorders>
              <w:top w:val="none" w:color="000000" w:sz="4" w:space="0"/>
              <w:left w:val="single" w:color="auto" w:sz="4" w:space="0"/>
              <w:bottom w:val="single" w:color="auto" w:sz="4" w:space="0"/>
              <w:right w:val="single" w:color="auto" w:sz="4" w:space="0"/>
            </w:tcBorders>
            <w:tcW w:w="5396" w:type="dxa"/>
            <w:vAlign w:val="center"/>
            <w:textDirection w:val="lrTb"/>
            <w:noWrap/>
          </w:tcPr>
          <w:p>
            <w:pPr>
              <w:ind w:firstLine="34"/>
              <w:jc w:val="both"/>
              <w:spacing w:after="0" w:line="17" w:lineRule="atLeast"/>
              <w:widowControl w:val="off"/>
              <w:rPr>
                <w:rFonts w:ascii="Tinos" w:hAnsi="Tinos" w:cs="Tinos"/>
                <w:bCs/>
                <w:sz w:val="20"/>
                <w:szCs w:val="20"/>
              </w:rPr>
            </w:pPr>
            <w:r>
              <w:rPr>
                <w:rFonts w:ascii="Tinos" w:hAnsi="Tinos" w:eastAsia="Tinos" w:cs="Tinos"/>
                <w:bCs/>
                <w:sz w:val="20"/>
                <w:szCs w:val="20"/>
                <w:lang w:eastAsia="ru-RU"/>
              </w:rPr>
              <w:t xml:space="preserve">Серия и номер ПТС, дата выдачи</w:t>
            </w:r>
            <w:r>
              <w:rPr>
                <w:rFonts w:ascii="Tinos" w:hAnsi="Tinos" w:cs="Tinos"/>
                <w:bCs/>
                <w:sz w:val="20"/>
                <w:szCs w:val="20"/>
              </w:rPr>
            </w:r>
          </w:p>
        </w:tc>
        <w:tc>
          <w:tcPr>
            <w:shd w:val="clear" w:color="auto" w:fill="auto"/>
            <w:tcBorders>
              <w:top w:val="none" w:color="000000" w:sz="4" w:space="0"/>
              <w:left w:val="none" w:color="000000" w:sz="4" w:space="0"/>
              <w:bottom w:val="single" w:color="auto" w:sz="4" w:space="0"/>
              <w:right w:val="single" w:color="auto" w:sz="4" w:space="0"/>
            </w:tcBorders>
            <w:tcW w:w="4667" w:type="dxa"/>
            <w:vAlign w:val="center"/>
            <w:textDirection w:val="lrTb"/>
            <w:noWrap/>
          </w:tcPr>
          <w:p>
            <w:pPr>
              <w:ind w:firstLine="709"/>
              <w:jc w:val="both"/>
              <w:spacing w:after="0" w:line="17" w:lineRule="atLeast"/>
              <w:widowControl w:val="off"/>
              <w:rPr>
                <w:rFonts w:ascii="Tinos" w:hAnsi="Tinos" w:cs="Tinos"/>
                <w:sz w:val="20"/>
                <w:szCs w:val="20"/>
              </w:rPr>
            </w:pPr>
            <w:r>
              <w:rPr>
                <w:rFonts w:ascii="Tinos" w:hAnsi="Tinos" w:cs="Tinos"/>
                <w:sz w:val="20"/>
                <w:szCs w:val="20"/>
              </w:rPr>
            </w:r>
            <w:r>
              <w:rPr>
                <w:rFonts w:ascii="Tinos" w:hAnsi="Tinos" w:cs="Tinos"/>
                <w:sz w:val="20"/>
                <w:szCs w:val="20"/>
              </w:rPr>
            </w:r>
          </w:p>
        </w:tc>
      </w:tr>
      <w:tr>
        <w:tblPrEx/>
        <w:trPr>
          <w:trHeight w:val="114"/>
        </w:trPr>
        <w:tc>
          <w:tcPr>
            <w:shd w:val="clear" w:color="auto" w:fill="auto"/>
            <w:tcBorders>
              <w:top w:val="none" w:color="000000" w:sz="4" w:space="0"/>
              <w:left w:val="single" w:color="auto" w:sz="4" w:space="0"/>
              <w:bottom w:val="single" w:color="auto" w:sz="4" w:space="0"/>
              <w:right w:val="single" w:color="auto" w:sz="4" w:space="0"/>
            </w:tcBorders>
            <w:tcW w:w="5396" w:type="dxa"/>
            <w:vAlign w:val="center"/>
            <w:textDirection w:val="lrTb"/>
            <w:noWrap/>
          </w:tcPr>
          <w:p>
            <w:pPr>
              <w:ind w:firstLine="34"/>
              <w:jc w:val="both"/>
              <w:spacing w:after="0" w:line="17" w:lineRule="atLeast"/>
              <w:widowControl w:val="off"/>
              <w:rPr>
                <w:rFonts w:ascii="Tinos" w:hAnsi="Tinos" w:cs="Tinos"/>
                <w:bCs/>
                <w:sz w:val="20"/>
                <w:szCs w:val="20"/>
              </w:rPr>
            </w:pPr>
            <w:r>
              <w:rPr>
                <w:rFonts w:ascii="Tinos" w:hAnsi="Tinos" w:eastAsia="Tinos" w:cs="Tinos"/>
                <w:bCs/>
                <w:sz w:val="20"/>
                <w:szCs w:val="20"/>
                <w:lang w:eastAsia="ru-RU"/>
              </w:rPr>
              <w:t xml:space="preserve">Сведения об утилизационном сборе </w:t>
            </w:r>
            <w:r>
              <w:rPr>
                <w:rFonts w:ascii="Tinos" w:hAnsi="Tinos" w:cs="Tinos"/>
                <w:bCs/>
                <w:sz w:val="20"/>
                <w:szCs w:val="20"/>
              </w:rPr>
            </w:r>
          </w:p>
        </w:tc>
        <w:tc>
          <w:tcPr>
            <w:shd w:val="clear" w:color="auto" w:fill="auto"/>
            <w:tcBorders>
              <w:top w:val="none" w:color="000000" w:sz="4" w:space="0"/>
              <w:left w:val="none" w:color="000000" w:sz="4" w:space="0"/>
              <w:bottom w:val="single" w:color="auto" w:sz="4" w:space="0"/>
              <w:right w:val="single" w:color="auto" w:sz="4" w:space="0"/>
            </w:tcBorders>
            <w:tcW w:w="4667" w:type="dxa"/>
            <w:vAlign w:val="center"/>
            <w:textDirection w:val="lrTb"/>
            <w:noWrap/>
          </w:tcPr>
          <w:p>
            <w:pPr>
              <w:ind w:firstLine="709"/>
              <w:jc w:val="both"/>
              <w:spacing w:after="0" w:line="17" w:lineRule="atLeast"/>
              <w:widowControl w:val="off"/>
              <w:rPr>
                <w:rFonts w:ascii="Tinos" w:hAnsi="Tinos" w:cs="Tinos"/>
                <w:sz w:val="20"/>
                <w:szCs w:val="20"/>
              </w:rPr>
            </w:pPr>
            <w:r>
              <w:rPr>
                <w:rFonts w:ascii="Tinos" w:hAnsi="Tinos" w:cs="Tinos"/>
                <w:sz w:val="20"/>
                <w:szCs w:val="20"/>
              </w:rPr>
            </w:r>
            <w:r>
              <w:rPr>
                <w:rFonts w:ascii="Tinos" w:hAnsi="Tinos" w:cs="Tinos"/>
                <w:sz w:val="20"/>
                <w:szCs w:val="20"/>
              </w:rPr>
            </w:r>
          </w:p>
        </w:tc>
      </w:tr>
    </w:tbl>
    <w:p>
      <w:pPr>
        <w:ind w:firstLine="709"/>
        <w:jc w:val="both"/>
        <w:spacing w:after="0" w:line="17" w:lineRule="atLeast"/>
        <w:shd w:val="clear" w:color="auto" w:fill="ffffff"/>
        <w:widowControl w:val="off"/>
        <w:rPr>
          <w:rFonts w:ascii="Tinos" w:hAnsi="Tinos" w:cs="Tinos"/>
          <w:sz w:val="20"/>
          <w:szCs w:val="20"/>
        </w:rPr>
      </w:pPr>
      <w:r>
        <w:rPr>
          <w:rFonts w:ascii="Tinos" w:hAnsi="Tinos" w:cs="Tinos"/>
          <w:sz w:val="20"/>
          <w:szCs w:val="20"/>
        </w:rPr>
      </w:r>
      <w:r>
        <w:rPr>
          <w:rFonts w:ascii="Tinos" w:hAnsi="Tinos" w:cs="Tinos"/>
          <w:sz w:val="20"/>
          <w:szCs w:val="20"/>
        </w:rPr>
      </w:r>
    </w:p>
    <w:p>
      <w:pPr>
        <w:jc w:val="both"/>
        <w:spacing w:after="0" w:line="17" w:lineRule="atLeast"/>
        <w:shd w:val="clear" w:color="auto" w:fill="ffffff"/>
        <w:widowControl w:val="off"/>
        <w:rPr>
          <w:rFonts w:ascii="Tinos" w:hAnsi="Tinos" w:cs="Tinos"/>
          <w:sz w:val="20"/>
          <w:szCs w:val="20"/>
        </w:rPr>
      </w:pPr>
      <w:r>
        <w:rPr>
          <w:rFonts w:ascii="Tinos" w:hAnsi="Tinos" w:eastAsia="Tinos" w:cs="Tinos"/>
          <w:sz w:val="20"/>
          <w:szCs w:val="20"/>
          <w:lang w:eastAsia="ru-RU"/>
        </w:rPr>
        <w:t xml:space="preserve">2.  </w:t>
      </w:r>
      <w:r>
        <w:rPr>
          <w:rFonts w:ascii="Tinos" w:hAnsi="Tinos" w:eastAsia="Tinos" w:cs="Tinos"/>
          <w:sz w:val="20"/>
          <w:szCs w:val="20"/>
          <w:lang w:eastAsia="ru-RU"/>
        </w:rPr>
        <w:t xml:space="preserve">Транспортное средство не заложено, не находится в споре, под арестом, не обременено правами третьих лиц, не является предметом каких-либо иных сделок, ограничивающих право покупателя на распоряжение им, а также то, что данное ТС полностью и надлежащим обра</w:t>
      </w:r>
      <w:r>
        <w:rPr>
          <w:rFonts w:ascii="Tinos" w:hAnsi="Tinos" w:eastAsia="Tinos" w:cs="Tinos"/>
          <w:sz w:val="20"/>
          <w:szCs w:val="20"/>
          <w:lang w:eastAsia="ru-RU"/>
        </w:rPr>
        <w:t xml:space="preserve">зом оформлено для реализации на территории РФ.</w:t>
      </w:r>
      <w:r>
        <w:rPr>
          <w:rFonts w:ascii="Tinos" w:hAnsi="Tinos" w:cs="Tinos"/>
          <w:sz w:val="20"/>
          <w:szCs w:val="20"/>
        </w:rPr>
      </w:r>
    </w:p>
    <w:p>
      <w:pPr>
        <w:jc w:val="both"/>
        <w:spacing w:after="0" w:line="17" w:lineRule="atLeast"/>
        <w:shd w:val="clear" w:color="auto" w:fill="ffffff"/>
        <w:widowControl w:val="off"/>
        <w:rPr>
          <w:rFonts w:ascii="Tinos" w:hAnsi="Tinos" w:cs="Tinos"/>
          <w:sz w:val="20"/>
          <w:szCs w:val="20"/>
        </w:rPr>
      </w:pPr>
      <w:r>
        <w:rPr>
          <w:rFonts w:ascii="Tinos" w:hAnsi="Tinos" w:cs="Tinos"/>
          <w:sz w:val="20"/>
          <w:szCs w:val="20"/>
        </w:rPr>
      </w:r>
      <w:r>
        <w:rPr>
          <w:rFonts w:ascii="Tinos" w:hAnsi="Tinos" w:cs="Tinos"/>
          <w:sz w:val="20"/>
          <w:szCs w:val="20"/>
        </w:rPr>
      </w:r>
    </w:p>
    <w:p>
      <w:pPr>
        <w:jc w:val="both"/>
        <w:spacing w:after="0" w:line="17" w:lineRule="atLeast"/>
        <w:shd w:val="clear" w:color="auto" w:fill="ffffff"/>
        <w:widowControl w:val="off"/>
        <w:rPr>
          <w:rFonts w:ascii="Tinos" w:hAnsi="Tinos" w:cs="Tinos"/>
          <w:sz w:val="20"/>
          <w:szCs w:val="20"/>
        </w:rPr>
      </w:pPr>
      <w:r>
        <w:rPr>
          <w:rFonts w:ascii="Tinos" w:hAnsi="Tinos" w:eastAsia="Tinos" w:cs="Tinos"/>
          <w:sz w:val="20"/>
          <w:szCs w:val="20"/>
          <w:lang w:eastAsia="ru-RU"/>
        </w:rPr>
        <w:t xml:space="preserve">3. Транспортное средство передается в технически исправном, не имеющим дефектов, которые можно обнаружить при осмотре автомобиля как снаружи, так и внутри. Предпродажная подготовка проведена в полном объеме, </w:t>
      </w:r>
      <w:r>
        <w:rPr>
          <w:rFonts w:ascii="Tinos" w:hAnsi="Tinos" w:eastAsia="Tinos" w:cs="Tinos"/>
          <w:sz w:val="20"/>
          <w:szCs w:val="20"/>
          <w:lang w:eastAsia="ru-RU"/>
        </w:rPr>
        <w:t xml:space="preserve">в соответствии с требованиями завода изготовителя. Лакокрасочное покрытие не имеет сколов, царапин и других дефектов. Транспортное средство передается в полной комплектации. При приемке Транспортного средства Покупателю передаются следующие документы:</w:t>
      </w:r>
      <w:r>
        <w:rPr>
          <w:rFonts w:ascii="Tinos" w:hAnsi="Tinos" w:cs="Tinos"/>
          <w:sz w:val="20"/>
          <w:szCs w:val="20"/>
        </w:rPr>
      </w:r>
    </w:p>
    <w:p>
      <w:pPr>
        <w:jc w:val="both"/>
        <w:spacing w:after="0" w:line="17" w:lineRule="atLeast"/>
        <w:shd w:val="clear" w:color="auto" w:fill="ffffff"/>
        <w:widowControl w:val="off"/>
        <w:rPr>
          <w:rFonts w:ascii="Tinos" w:hAnsi="Tinos" w:cs="Tinos"/>
          <w:sz w:val="20"/>
          <w:szCs w:val="20"/>
        </w:rPr>
      </w:pPr>
      <w:r>
        <w:rPr>
          <w:rFonts w:ascii="Tinos" w:hAnsi="Tinos" w:eastAsia="Tinos" w:cs="Tinos"/>
          <w:sz w:val="20"/>
          <w:szCs w:val="20"/>
          <w:lang w:eastAsia="ru-RU"/>
        </w:rPr>
        <w:t xml:space="preserve">____</w:t>
      </w:r>
      <w:r>
        <w:rPr>
          <w:rFonts w:ascii="Tinos" w:hAnsi="Tinos" w:eastAsia="Tinos" w:cs="Tinos"/>
          <w:sz w:val="20"/>
          <w:szCs w:val="20"/>
          <w:lang w:eastAsia="ru-RU"/>
        </w:rPr>
        <w:t xml:space="preserve">__________________________________________________________________________________________.</w:t>
      </w:r>
      <w:r>
        <w:rPr>
          <w:rFonts w:ascii="Tinos" w:hAnsi="Tinos" w:cs="Tinos"/>
          <w:sz w:val="20"/>
          <w:szCs w:val="20"/>
        </w:rPr>
      </w:r>
    </w:p>
    <w:p>
      <w:pPr>
        <w:jc w:val="both"/>
        <w:spacing w:after="0" w:line="17" w:lineRule="atLeast"/>
        <w:shd w:val="clear" w:color="auto" w:fill="ffffff"/>
        <w:widowControl w:val="off"/>
        <w:rPr>
          <w:rFonts w:ascii="Tinos" w:hAnsi="Tinos" w:cs="Tinos"/>
          <w:sz w:val="20"/>
          <w:szCs w:val="20"/>
        </w:rPr>
      </w:pPr>
      <w:r>
        <w:rPr>
          <w:rFonts w:ascii="Tinos" w:hAnsi="Tinos" w:eastAsia="Tinos" w:cs="Tinos"/>
          <w:sz w:val="20"/>
          <w:szCs w:val="20"/>
          <w:lang w:eastAsia="ru-RU"/>
        </w:rPr>
        <w:t xml:space="preserve">Комплектация: _________________________________________________________________________________.</w:t>
      </w:r>
      <w:r>
        <w:rPr>
          <w:rFonts w:ascii="Tinos" w:hAnsi="Tinos" w:cs="Tinos"/>
          <w:sz w:val="20"/>
          <w:szCs w:val="20"/>
        </w:rPr>
      </w:r>
    </w:p>
    <w:p>
      <w:pPr>
        <w:ind w:firstLine="709"/>
        <w:jc w:val="both"/>
        <w:spacing w:after="0" w:line="17" w:lineRule="atLeast"/>
        <w:shd w:val="clear" w:color="auto" w:fill="ffffff"/>
        <w:widowControl w:val="off"/>
        <w:rPr>
          <w:rFonts w:ascii="Tinos" w:hAnsi="Tinos" w:cs="Tinos"/>
          <w:sz w:val="20"/>
          <w:szCs w:val="20"/>
        </w:rPr>
      </w:pPr>
      <w:r>
        <w:rPr>
          <w:rFonts w:ascii="Tinos" w:hAnsi="Tinos" w:cs="Tinos"/>
          <w:sz w:val="20"/>
          <w:szCs w:val="20"/>
        </w:rPr>
      </w:r>
      <w:r>
        <w:rPr>
          <w:rFonts w:ascii="Tinos" w:hAnsi="Tinos" w:cs="Tinos"/>
          <w:sz w:val="20"/>
          <w:szCs w:val="20"/>
        </w:rPr>
      </w:r>
    </w:p>
    <w:p>
      <w:pPr>
        <w:jc w:val="both"/>
        <w:spacing w:after="0" w:line="17" w:lineRule="atLeast"/>
        <w:shd w:val="clear" w:color="auto" w:fill="ffffff"/>
        <w:widowControl w:val="off"/>
        <w:tabs>
          <w:tab w:val="left" w:pos="284" w:leader="none"/>
          <w:tab w:val="left" w:pos="426" w:leader="none"/>
        </w:tabs>
        <w:rPr>
          <w:rFonts w:ascii="Tinos" w:hAnsi="Tinos" w:cs="Tinos"/>
          <w:sz w:val="20"/>
          <w:szCs w:val="20"/>
        </w:rPr>
      </w:pPr>
      <w:r>
        <w:rPr>
          <w:rFonts w:ascii="Tinos" w:hAnsi="Tinos" w:eastAsia="Tinos" w:cs="Tinos"/>
          <w:sz w:val="20"/>
          <w:szCs w:val="20"/>
          <w:lang w:eastAsia="ru-RU"/>
        </w:rPr>
        <w:t xml:space="preserve">4.   Цена товара: ___________ (________________________) руб., вкл</w:t>
      </w:r>
      <w:r>
        <w:rPr>
          <w:rFonts w:ascii="Tinos" w:hAnsi="Tinos" w:eastAsia="Tinos" w:cs="Tinos"/>
          <w:sz w:val="20"/>
          <w:szCs w:val="20"/>
          <w:lang w:eastAsia="ru-RU"/>
        </w:rPr>
        <w:t xml:space="preserve">ючая НДС (__%), _________________ руб.</w:t>
      </w:r>
      <w:r>
        <w:rPr>
          <w:rFonts w:ascii="Tinos" w:hAnsi="Tinos" w:cs="Tinos"/>
          <w:sz w:val="20"/>
          <w:szCs w:val="20"/>
        </w:rPr>
      </w:r>
    </w:p>
    <w:p>
      <w:pPr>
        <w:jc w:val="both"/>
        <w:spacing w:after="0" w:line="17" w:lineRule="atLeast"/>
        <w:shd w:val="clear" w:color="auto" w:fill="ffffff"/>
        <w:widowControl w:val="off"/>
        <w:tabs>
          <w:tab w:val="left" w:pos="284" w:leader="none"/>
          <w:tab w:val="left" w:pos="426" w:leader="none"/>
        </w:tabs>
        <w:rPr>
          <w:rFonts w:ascii="Tinos" w:hAnsi="Tinos" w:cs="Tinos"/>
          <w:sz w:val="20"/>
          <w:szCs w:val="20"/>
        </w:rPr>
      </w:pPr>
      <w:r>
        <w:rPr>
          <w:rFonts w:ascii="Tinos" w:hAnsi="Tinos" w:cs="Tinos"/>
          <w:sz w:val="20"/>
          <w:szCs w:val="20"/>
        </w:rPr>
      </w:r>
      <w:r>
        <w:rPr>
          <w:rFonts w:ascii="Tinos" w:hAnsi="Tinos" w:cs="Tinos"/>
          <w:sz w:val="20"/>
          <w:szCs w:val="20"/>
        </w:rPr>
      </w:r>
    </w:p>
    <w:p>
      <w:pPr>
        <w:jc w:val="both"/>
        <w:spacing w:after="0" w:line="17" w:lineRule="atLeast"/>
        <w:shd w:val="clear" w:color="auto" w:fill="ffffff"/>
        <w:widowControl w:val="off"/>
        <w:tabs>
          <w:tab w:val="left" w:pos="284" w:leader="none"/>
          <w:tab w:val="left" w:pos="426" w:leader="none"/>
        </w:tabs>
        <w:rPr>
          <w:rFonts w:ascii="Tinos" w:hAnsi="Tinos" w:cs="Tinos"/>
          <w:sz w:val="20"/>
          <w:szCs w:val="20"/>
        </w:rPr>
      </w:pPr>
      <w:r>
        <w:rPr>
          <w:rFonts w:ascii="Tinos" w:hAnsi="Tinos" w:eastAsia="Tinos" w:cs="Tinos"/>
          <w:sz w:val="20"/>
          <w:szCs w:val="20"/>
          <w:lang w:eastAsia="ru-RU"/>
        </w:rPr>
        <w:t xml:space="preserve">5.   Правила эксплуатации Транспортного средства, гарантийного обслуживания, поддержания его в надлежащем состоянии разъяснены.</w:t>
      </w:r>
      <w:r>
        <w:rPr>
          <w:rFonts w:ascii="Tinos" w:hAnsi="Tinos" w:cs="Tinos"/>
          <w:sz w:val="20"/>
          <w:szCs w:val="20"/>
        </w:rPr>
      </w:r>
    </w:p>
    <w:p>
      <w:pPr>
        <w:ind w:firstLine="709"/>
        <w:jc w:val="both"/>
        <w:spacing w:after="0" w:line="17" w:lineRule="atLeast"/>
        <w:shd w:val="clear" w:color="auto" w:fill="ffffff"/>
        <w:widowControl w:val="off"/>
        <w:tabs>
          <w:tab w:val="left" w:pos="284" w:leader="none"/>
          <w:tab w:val="left" w:pos="426" w:leader="none"/>
        </w:tabs>
        <w:rPr>
          <w:rFonts w:ascii="Tinos" w:hAnsi="Tinos" w:cs="Tinos"/>
          <w:sz w:val="20"/>
          <w:szCs w:val="20"/>
        </w:rPr>
      </w:pPr>
      <w:r>
        <w:rPr>
          <w:rFonts w:ascii="Tinos" w:hAnsi="Tinos" w:cs="Tinos"/>
          <w:sz w:val="20"/>
          <w:szCs w:val="20"/>
        </w:rPr>
      </w:r>
      <w:r>
        <w:rPr>
          <w:rFonts w:ascii="Tinos" w:hAnsi="Tinos" w:cs="Tinos"/>
          <w:sz w:val="20"/>
          <w:szCs w:val="20"/>
        </w:rPr>
      </w:r>
    </w:p>
    <w:p>
      <w:pPr>
        <w:jc w:val="both"/>
        <w:spacing w:after="0" w:line="17" w:lineRule="atLeast"/>
        <w:shd w:val="clear" w:color="auto" w:fill="ffffff"/>
        <w:widowControl w:val="off"/>
        <w:tabs>
          <w:tab w:val="left" w:pos="284" w:leader="none"/>
          <w:tab w:val="left" w:pos="426" w:leader="none"/>
        </w:tabs>
        <w:rPr>
          <w:rFonts w:ascii="Tinos" w:hAnsi="Tinos" w:cs="Tinos"/>
          <w:sz w:val="20"/>
          <w:szCs w:val="20"/>
        </w:rPr>
      </w:pPr>
      <w:r>
        <w:rPr>
          <w:rFonts w:ascii="Tinos" w:hAnsi="Tinos" w:eastAsia="Tinos" w:cs="Tinos"/>
          <w:sz w:val="20"/>
          <w:szCs w:val="20"/>
          <w:lang w:eastAsia="ru-RU"/>
        </w:rPr>
        <w:t xml:space="preserve">6.  Настоящий акт является неотъемлемой частью договора поставки № ________________ от </w:t>
      </w:r>
      <w:r>
        <w:rPr>
          <w:rFonts w:ascii="Tinos" w:hAnsi="Tinos" w:eastAsia="Tinos" w:cs="Tinos"/>
          <w:sz w:val="20"/>
          <w:szCs w:val="20"/>
          <w:lang w:eastAsia="ru-RU"/>
        </w:rPr>
        <w:t xml:space="preserve">«__» ___ 20__ года.</w:t>
      </w:r>
      <w:r>
        <w:rPr>
          <w:rFonts w:ascii="Tinos" w:hAnsi="Tinos" w:cs="Tinos"/>
          <w:sz w:val="20"/>
          <w:szCs w:val="20"/>
        </w:rPr>
      </w:r>
    </w:p>
    <w:p>
      <w:pPr>
        <w:jc w:val="both"/>
        <w:spacing w:after="0" w:line="17" w:lineRule="atLeast"/>
        <w:shd w:val="clear" w:color="auto" w:fill="ffffff"/>
        <w:widowControl w:val="off"/>
        <w:tabs>
          <w:tab w:val="left" w:pos="284" w:leader="none"/>
          <w:tab w:val="left" w:pos="426" w:leader="none"/>
        </w:tabs>
        <w:rPr>
          <w:rFonts w:ascii="Tinos" w:hAnsi="Tinos" w:cs="Tinos"/>
          <w:sz w:val="20"/>
          <w:szCs w:val="20"/>
        </w:rPr>
      </w:pPr>
      <w:r>
        <w:rPr>
          <w:rFonts w:ascii="Tinos" w:hAnsi="Tinos" w:cs="Tinos"/>
          <w:sz w:val="20"/>
          <w:szCs w:val="20"/>
        </w:rPr>
      </w:r>
      <w:r>
        <w:rPr>
          <w:rFonts w:ascii="Tinos" w:hAnsi="Tinos" w:cs="Tinos"/>
          <w:sz w:val="20"/>
          <w:szCs w:val="20"/>
        </w:rPr>
      </w:r>
    </w:p>
    <w:p>
      <w:pPr>
        <w:jc w:val="both"/>
        <w:spacing w:after="0" w:line="17" w:lineRule="atLeast"/>
        <w:shd w:val="clear" w:color="auto" w:fill="ffffff"/>
        <w:widowControl w:val="off"/>
        <w:tabs>
          <w:tab w:val="left" w:pos="284" w:leader="none"/>
          <w:tab w:val="left" w:pos="426" w:leader="none"/>
        </w:tabs>
        <w:rPr>
          <w:rFonts w:ascii="Tinos" w:hAnsi="Tinos" w:cs="Tinos"/>
          <w:b/>
          <w:bCs/>
          <w:sz w:val="20"/>
          <w:szCs w:val="20"/>
        </w:rPr>
      </w:pPr>
      <w:r>
        <w:rPr>
          <w:rFonts w:ascii="Tinos" w:hAnsi="Tinos" w:eastAsia="Tinos" w:cs="Tinos"/>
          <w:sz w:val="20"/>
          <w:szCs w:val="20"/>
          <w:lang w:eastAsia="ru-RU"/>
        </w:rPr>
        <w:t xml:space="preserve">7. Настоящий акт составлен в трех экземплярах: </w:t>
      </w:r>
      <w:r>
        <w:rPr>
          <w:rFonts w:ascii="Tinos" w:hAnsi="Tinos" w:eastAsia="Tinos" w:cs="Tinos"/>
          <w:color w:val="000000"/>
          <w:sz w:val="20"/>
          <w:szCs w:val="20"/>
          <w:lang w:eastAsia="ru-RU"/>
        </w:rPr>
        <w:t xml:space="preserve">один экземпляр для Поставщика, два экземпляра для Покупателя</w:t>
      </w:r>
      <w:r>
        <w:rPr>
          <w:rFonts w:ascii="Tinos" w:hAnsi="Tinos" w:eastAsia="Tinos" w:cs="Tinos"/>
          <w:sz w:val="20"/>
          <w:szCs w:val="20"/>
          <w:lang w:eastAsia="ru-RU"/>
        </w:rPr>
        <w:t xml:space="preserve">.</w:t>
      </w:r>
      <w:r>
        <w:rPr>
          <w:rFonts w:ascii="Tinos" w:hAnsi="Tinos" w:eastAsia="Tinos" w:cs="Tinos"/>
          <w:b/>
          <w:bCs/>
          <w:sz w:val="20"/>
          <w:szCs w:val="20"/>
          <w:lang w:eastAsia="ru-RU"/>
        </w:rPr>
        <w:t xml:space="preserve">  </w:t>
      </w:r>
      <w:r>
        <w:rPr>
          <w:rFonts w:ascii="Tinos" w:hAnsi="Tinos" w:cs="Tinos"/>
          <w:b/>
          <w:bCs/>
          <w:sz w:val="20"/>
          <w:szCs w:val="20"/>
        </w:rPr>
      </w:r>
    </w:p>
    <w:p>
      <w:pPr>
        <w:ind w:left="142"/>
        <w:jc w:val="both"/>
        <w:spacing w:after="0" w:line="17" w:lineRule="atLeast"/>
        <w:shd w:val="clear" w:color="auto" w:fill="ffffff"/>
        <w:widowControl w:val="off"/>
        <w:rPr>
          <w:rFonts w:ascii="Tinos" w:hAnsi="Tinos" w:cs="Tinos"/>
          <w:sz w:val="20"/>
          <w:szCs w:val="20"/>
        </w:rPr>
      </w:pPr>
      <w:r>
        <w:rPr>
          <w:rFonts w:ascii="Tinos" w:hAnsi="Tinos" w:eastAsia="Tinos" w:cs="Tinos"/>
          <w:b/>
          <w:bCs/>
          <w:sz w:val="20"/>
          <w:szCs w:val="20"/>
          <w:lang w:eastAsia="ru-RU"/>
        </w:rPr>
        <w:t xml:space="preserve">       </w:t>
      </w:r>
      <w:r>
        <w:rPr>
          <w:rFonts w:ascii="Tinos" w:hAnsi="Tinos" w:cs="Tinos"/>
          <w:sz w:val="20"/>
          <w:szCs w:val="20"/>
        </w:rPr>
      </w:r>
    </w:p>
    <w:tbl>
      <w:tblPr>
        <w:tblW w:w="9955" w:type="dxa"/>
        <w:tblInd w:w="108" w:type="dxa"/>
        <w:tblLayout w:type="fixed"/>
        <w:tblLook w:val="0000" w:firstRow="0" w:lastRow="0" w:firstColumn="0" w:lastColumn="0" w:noHBand="0" w:noVBand="0"/>
      </w:tblPr>
      <w:tblGrid>
        <w:gridCol w:w="5032"/>
        <w:gridCol w:w="4923"/>
      </w:tblGrid>
      <w:tr>
        <w:tblPrEx/>
        <w:trPr>
          <w:trHeight w:val="1463"/>
        </w:trPr>
        <w:tc>
          <w:tcPr>
            <w:tcW w:w="5032" w:type="dxa"/>
            <w:vAlign w:val="center"/>
            <w:textDirection w:val="lrTb"/>
            <w:noWrap w:val="false"/>
          </w:tcPr>
          <w:p>
            <w:pPr>
              <w:ind w:left="-108" w:firstLine="108"/>
              <w:jc w:val="both"/>
              <w:spacing w:after="0" w:line="17" w:lineRule="atLeast"/>
              <w:widowControl w:val="off"/>
              <w:rPr>
                <w:rFonts w:ascii="Tinos" w:hAnsi="Tinos" w:cs="Tinos"/>
              </w:rPr>
            </w:pPr>
            <w:r>
              <w:rPr>
                <w:rFonts w:ascii="Tinos" w:hAnsi="Tinos" w:eastAsia="Tinos" w:cs="Tinos"/>
                <w:lang w:eastAsia="ru-RU"/>
              </w:rPr>
              <w:t xml:space="preserve">Подписи сторон:</w:t>
            </w:r>
            <w:r>
              <w:rPr>
                <w:rFonts w:ascii="Tinos" w:hAnsi="Tinos" w:cs="Tinos"/>
              </w:rPr>
            </w:r>
          </w:p>
          <w:p>
            <w:pPr>
              <w:ind w:left="-108" w:firstLine="108"/>
              <w:jc w:val="both"/>
              <w:spacing w:after="0" w:line="17" w:lineRule="atLeast"/>
              <w:widowControl w:val="off"/>
              <w:rPr>
                <w:rFonts w:ascii="Tinos" w:hAnsi="Tinos" w:cs="Tinos"/>
              </w:rPr>
            </w:pPr>
            <w:r>
              <w:rPr>
                <w:rFonts w:ascii="Tinos" w:hAnsi="Tinos" w:eastAsia="Tinos" w:cs="Tinos"/>
                <w:lang w:eastAsia="ru-RU"/>
              </w:rPr>
              <w:t xml:space="preserve">ПОСТАВЩИК:</w:t>
            </w:r>
            <w:r>
              <w:rPr>
                <w:rFonts w:ascii="Tinos" w:hAnsi="Tinos" w:cs="Tinos"/>
              </w:rPr>
            </w:r>
          </w:p>
          <w:p>
            <w:pPr>
              <w:ind w:left="-108" w:firstLine="108"/>
              <w:jc w:val="both"/>
              <w:spacing w:after="0" w:line="17" w:lineRule="atLeast"/>
              <w:widowControl w:val="off"/>
              <w:rPr>
                <w:rFonts w:ascii="Tinos" w:hAnsi="Tinos" w:cs="Tinos"/>
              </w:rPr>
            </w:pPr>
            <w:r>
              <w:rPr>
                <w:rFonts w:ascii="Tinos" w:hAnsi="Tinos" w:cs="Tinos"/>
              </w:rPr>
            </w:r>
            <w:r>
              <w:rPr>
                <w:rFonts w:ascii="Tinos" w:hAnsi="Tinos" w:cs="Tinos"/>
              </w:rPr>
            </w:r>
          </w:p>
          <w:p>
            <w:pPr>
              <w:ind w:left="-108" w:firstLine="108"/>
              <w:jc w:val="both"/>
              <w:spacing w:after="0" w:line="17" w:lineRule="atLeast"/>
              <w:widowControl w:val="off"/>
              <w:rPr>
                <w:rFonts w:ascii="Tinos" w:hAnsi="Tinos" w:cs="Tinos"/>
              </w:rPr>
            </w:pPr>
            <w:r>
              <w:rPr>
                <w:rFonts w:ascii="Tinos" w:hAnsi="Tinos" w:eastAsia="Tinos" w:cs="Tinos"/>
                <w:lang w:eastAsia="ru-RU"/>
              </w:rPr>
              <w:t xml:space="preserve">__________________/_ /</w:t>
            </w:r>
            <w:r>
              <w:rPr>
                <w:rFonts w:ascii="Tinos" w:hAnsi="Tinos" w:cs="Tinos"/>
              </w:rPr>
            </w:r>
          </w:p>
          <w:p>
            <w:pPr>
              <w:ind w:left="-108" w:firstLine="108"/>
              <w:jc w:val="both"/>
              <w:spacing w:after="0" w:line="17" w:lineRule="atLeast"/>
              <w:widowControl w:val="off"/>
              <w:rPr>
                <w:rFonts w:ascii="Tinos" w:hAnsi="Tinos" w:cs="Tinos"/>
              </w:rPr>
            </w:pPr>
            <w:r>
              <w:rPr>
                <w:rFonts w:ascii="Tinos" w:hAnsi="Tinos" w:eastAsia="Tinos" w:cs="Tinos"/>
                <w:lang w:eastAsia="ru-RU"/>
              </w:rPr>
              <w:t xml:space="preserve">М.П.</w:t>
            </w:r>
            <w:r>
              <w:rPr>
                <w:rFonts w:ascii="Tinos" w:hAnsi="Tinos" w:cs="Tinos"/>
              </w:rPr>
            </w:r>
          </w:p>
          <w:p>
            <w:pPr>
              <w:ind w:left="-108" w:firstLine="108"/>
              <w:jc w:val="both"/>
              <w:spacing w:after="0" w:line="17" w:lineRule="atLeast"/>
              <w:widowControl w:val="off"/>
              <w:rPr>
                <w:rFonts w:ascii="Tinos" w:hAnsi="Tinos" w:cs="Tinos"/>
              </w:rPr>
            </w:pPr>
            <w:r>
              <w:rPr>
                <w:rFonts w:ascii="Tinos" w:hAnsi="Tinos" w:cs="Tinos"/>
              </w:rPr>
            </w:r>
            <w:r>
              <w:rPr>
                <w:rFonts w:ascii="Tinos" w:hAnsi="Tinos" w:cs="Tinos"/>
              </w:rPr>
            </w:r>
          </w:p>
          <w:p>
            <w:pPr>
              <w:ind w:left="-108" w:firstLine="108"/>
              <w:jc w:val="both"/>
              <w:spacing w:after="0" w:line="17" w:lineRule="atLeast"/>
              <w:widowControl w:val="off"/>
              <w:rPr>
                <w:rFonts w:ascii="Tinos" w:hAnsi="Tinos" w:cs="Tinos"/>
              </w:rPr>
            </w:pPr>
            <w:r>
              <w:rPr>
                <w:rFonts w:ascii="Tinos" w:hAnsi="Tinos" w:eastAsia="Tinos" w:cs="Tinos"/>
                <w:lang w:eastAsia="ru-RU"/>
              </w:rPr>
              <w:t xml:space="preserve">«____» __________ 202_ г.</w:t>
            </w:r>
            <w:r>
              <w:rPr>
                <w:rFonts w:ascii="Tinos" w:hAnsi="Tinos" w:cs="Tinos"/>
              </w:rPr>
            </w:r>
          </w:p>
        </w:tc>
        <w:tc>
          <w:tcPr>
            <w:tcW w:w="4923" w:type="dxa"/>
            <w:textDirection w:val="lrTb"/>
            <w:noWrap w:val="false"/>
          </w:tcPr>
          <w:p>
            <w:pPr>
              <w:ind w:firstLine="530"/>
              <w:jc w:val="both"/>
              <w:spacing w:after="0" w:line="17" w:lineRule="atLeast"/>
              <w:widowControl w:val="off"/>
              <w:rPr>
                <w:rFonts w:ascii="Tinos" w:hAnsi="Tinos" w:cs="Tinos"/>
              </w:rPr>
            </w:pPr>
            <w:r>
              <w:rPr>
                <w:rFonts w:ascii="Tinos" w:hAnsi="Tinos" w:cs="Tinos"/>
              </w:rPr>
            </w:r>
            <w:r>
              <w:rPr>
                <w:rFonts w:ascii="Tinos" w:hAnsi="Tinos" w:cs="Tinos"/>
              </w:rPr>
            </w:r>
          </w:p>
          <w:p>
            <w:pPr>
              <w:ind w:firstLine="530"/>
              <w:jc w:val="both"/>
              <w:spacing w:after="0" w:line="17" w:lineRule="atLeast"/>
              <w:widowControl w:val="off"/>
              <w:rPr>
                <w:rFonts w:ascii="Tinos" w:hAnsi="Tinos" w:cs="Tinos"/>
              </w:rPr>
            </w:pPr>
            <w:r>
              <w:rPr>
                <w:rFonts w:ascii="Tinos" w:hAnsi="Tinos" w:cs="Tinos"/>
              </w:rPr>
            </w:r>
            <w:r>
              <w:rPr>
                <w:rFonts w:ascii="Tinos" w:hAnsi="Tinos" w:cs="Tinos"/>
              </w:rPr>
            </w:r>
          </w:p>
          <w:p>
            <w:pPr>
              <w:ind w:firstLine="530"/>
              <w:jc w:val="both"/>
              <w:spacing w:after="0" w:line="17" w:lineRule="atLeast"/>
              <w:widowControl w:val="off"/>
              <w:rPr>
                <w:rFonts w:ascii="Tinos" w:hAnsi="Tinos" w:cs="Tinos"/>
              </w:rPr>
            </w:pPr>
            <w:r>
              <w:rPr>
                <w:rFonts w:ascii="Tinos" w:hAnsi="Tinos" w:eastAsia="Tinos" w:cs="Tinos"/>
                <w:lang w:eastAsia="ru-RU"/>
              </w:rPr>
              <w:t xml:space="preserve">ПОКУПАТЕЛЬ:</w:t>
            </w:r>
            <w:r>
              <w:rPr>
                <w:rFonts w:ascii="Tinos" w:hAnsi="Tinos" w:cs="Tinos"/>
              </w:rPr>
            </w:r>
          </w:p>
          <w:p>
            <w:pPr>
              <w:ind w:left="-107" w:firstLine="709"/>
              <w:jc w:val="both"/>
              <w:spacing w:after="0" w:line="17" w:lineRule="atLeast"/>
              <w:widowControl w:val="off"/>
              <w:rPr>
                <w:rFonts w:ascii="Tinos" w:hAnsi="Tinos" w:cs="Tinos"/>
              </w:rPr>
            </w:pPr>
            <w:r>
              <w:rPr>
                <w:rFonts w:ascii="Tinos" w:hAnsi="Tinos" w:cs="Tinos"/>
              </w:rPr>
            </w:r>
            <w:r>
              <w:rPr>
                <w:rFonts w:ascii="Tinos" w:hAnsi="Tinos" w:cs="Tinos"/>
              </w:rPr>
            </w:r>
          </w:p>
          <w:p>
            <w:pPr>
              <w:ind w:left="-107" w:firstLine="709"/>
              <w:jc w:val="both"/>
              <w:spacing w:after="0" w:line="17" w:lineRule="atLeast"/>
              <w:widowControl w:val="off"/>
              <w:rPr>
                <w:rFonts w:ascii="Tinos" w:hAnsi="Tinos" w:cs="Tinos"/>
              </w:rPr>
            </w:pPr>
            <w:r>
              <w:rPr>
                <w:rFonts w:ascii="Tinos" w:hAnsi="Tinos" w:eastAsia="Tinos" w:cs="Tinos"/>
                <w:lang w:eastAsia="ru-RU"/>
              </w:rPr>
              <w:t xml:space="preserve">__________________/ _ /</w:t>
            </w:r>
            <w:r>
              <w:rPr>
                <w:rFonts w:ascii="Tinos" w:hAnsi="Tinos" w:cs="Tinos"/>
              </w:rPr>
            </w:r>
          </w:p>
          <w:p>
            <w:pPr>
              <w:ind w:left="-107" w:firstLine="709"/>
              <w:jc w:val="both"/>
              <w:spacing w:after="0" w:line="17" w:lineRule="atLeast"/>
              <w:widowControl w:val="off"/>
              <w:rPr>
                <w:rFonts w:ascii="Tinos" w:hAnsi="Tinos" w:cs="Tinos"/>
              </w:rPr>
            </w:pPr>
            <w:r>
              <w:rPr>
                <w:rFonts w:ascii="Tinos" w:hAnsi="Tinos" w:eastAsia="Tinos" w:cs="Tinos"/>
                <w:lang w:eastAsia="ru-RU"/>
              </w:rPr>
              <w:t xml:space="preserve">М.П.</w:t>
            </w:r>
            <w:r>
              <w:rPr>
                <w:rFonts w:ascii="Tinos" w:hAnsi="Tinos" w:cs="Tinos"/>
              </w:rPr>
            </w:r>
          </w:p>
          <w:p>
            <w:pPr>
              <w:ind w:left="-107" w:firstLine="709"/>
              <w:jc w:val="both"/>
              <w:spacing w:after="0" w:line="17" w:lineRule="atLeast"/>
              <w:widowControl w:val="off"/>
              <w:rPr>
                <w:rFonts w:ascii="Tinos" w:hAnsi="Tinos" w:cs="Tinos"/>
              </w:rPr>
            </w:pPr>
            <w:r>
              <w:rPr>
                <w:rFonts w:ascii="Tinos" w:hAnsi="Tinos" w:cs="Tinos"/>
              </w:rPr>
            </w:r>
            <w:r>
              <w:rPr>
                <w:rFonts w:ascii="Tinos" w:hAnsi="Tinos" w:cs="Tinos"/>
              </w:rPr>
            </w:r>
          </w:p>
          <w:p>
            <w:pPr>
              <w:ind w:left="-107" w:firstLine="709"/>
              <w:jc w:val="both"/>
              <w:spacing w:after="0" w:line="17" w:lineRule="atLeast"/>
              <w:widowControl w:val="off"/>
              <w:rPr>
                <w:rFonts w:ascii="Tinos" w:hAnsi="Tinos" w:cs="Tinos"/>
              </w:rPr>
            </w:pPr>
            <w:r>
              <w:rPr>
                <w:rFonts w:ascii="Tinos" w:hAnsi="Tinos" w:eastAsia="Tinos" w:cs="Tinos"/>
                <w:lang w:eastAsia="ru-RU"/>
              </w:rPr>
              <w:t xml:space="preserve">«____» __________ 202_ г.</w:t>
            </w:r>
            <w:r>
              <w:rPr>
                <w:rFonts w:ascii="Tinos" w:hAnsi="Tinos" w:cs="Tinos"/>
              </w:rPr>
            </w:r>
          </w:p>
        </w:tc>
      </w:tr>
    </w:tbl>
    <w:p>
      <w:pPr>
        <w:keepNext/>
        <w:spacing w:after="0" w:line="17" w:lineRule="atLeast"/>
        <w:widowControl w:val="off"/>
        <w:rPr>
          <w:rFonts w:ascii="Tinos" w:hAnsi="Tinos" w:cs="Tinos"/>
          <w:b/>
          <w:bCs/>
        </w:rPr>
      </w:pPr>
      <w:r>
        <w:rPr>
          <w:rFonts w:ascii="Tinos" w:hAnsi="Tinos" w:cs="Tinos"/>
          <w:b/>
          <w:bCs/>
        </w:rPr>
      </w:r>
      <w:r>
        <w:rPr>
          <w:rFonts w:ascii="Tinos" w:hAnsi="Tinos" w:cs="Tinos"/>
          <w:b/>
          <w:bCs/>
        </w:rPr>
      </w:r>
    </w:p>
    <w:p>
      <w:pPr>
        <w:keepNext/>
        <w:spacing w:after="0" w:line="17" w:lineRule="atLeast"/>
        <w:widowControl w:val="off"/>
        <w:rPr>
          <w:rFonts w:ascii="Tinos" w:hAnsi="Tinos" w:cs="Tinos"/>
          <w:b/>
          <w:bCs/>
        </w:rPr>
      </w:pPr>
      <w:r>
        <w:rPr>
          <w:rFonts w:ascii="Tinos" w:hAnsi="Tinos" w:cs="Tinos"/>
          <w:b/>
          <w:bCs/>
        </w:rPr>
      </w:r>
      <w:r>
        <w:rPr>
          <w:rFonts w:ascii="Tinos" w:hAnsi="Tinos" w:cs="Tinos"/>
          <w:b/>
          <w:bCs/>
        </w:rPr>
      </w:r>
    </w:p>
    <w:p>
      <w:pPr>
        <w:jc w:val="both"/>
        <w:spacing w:after="0" w:line="17" w:lineRule="atLeast"/>
        <w:shd w:val="clear" w:color="auto" w:fill="ffffff"/>
        <w:widowControl w:val="off"/>
        <w:rPr>
          <w:rFonts w:ascii="Tinos" w:hAnsi="Tinos" w:cs="Tinos"/>
          <w:b/>
          <w:bCs/>
        </w:rPr>
      </w:pPr>
      <w:r>
        <w:rPr>
          <w:rFonts w:ascii="Tinos" w:hAnsi="Tinos" w:eastAsia="Tinos" w:cs="Tinos"/>
          <w:b/>
          <w:bCs/>
          <w:lang w:eastAsia="ru-RU"/>
        </w:rPr>
        <w:t xml:space="preserve"> Форму согласовали:</w:t>
      </w:r>
      <w:r>
        <w:rPr>
          <w:rFonts w:ascii="Tinos" w:hAnsi="Tinos" w:cs="Tinos"/>
          <w:b/>
          <w:bCs/>
        </w:rPr>
      </w:r>
    </w:p>
    <w:tbl>
      <w:tblPr>
        <w:tblW w:w="9955" w:type="dxa"/>
        <w:tblInd w:w="108" w:type="dxa"/>
        <w:tblLayout w:type="fixed"/>
        <w:tblLook w:val="0000" w:firstRow="0" w:lastRow="0" w:firstColumn="0" w:lastColumn="0" w:noHBand="0" w:noVBand="0"/>
      </w:tblPr>
      <w:tblGrid>
        <w:gridCol w:w="5032"/>
        <w:gridCol w:w="4923"/>
      </w:tblGrid>
      <w:tr>
        <w:tblPrEx/>
        <w:trPr>
          <w:trHeight w:val="1463"/>
        </w:trPr>
        <w:tc>
          <w:tcPr>
            <w:tcW w:w="5032" w:type="dxa"/>
            <w:vAlign w:val="center"/>
            <w:textDirection w:val="lrTb"/>
            <w:noWrap w:val="false"/>
          </w:tcPr>
          <w:p>
            <w:pPr>
              <w:jc w:val="both"/>
              <w:spacing w:after="0" w:line="17" w:lineRule="atLeast"/>
              <w:widowControl w:val="off"/>
              <w:rPr>
                <w:rFonts w:ascii="Tinos" w:hAnsi="Tinos" w:cs="Tinos"/>
                <w:b/>
                <w:bCs/>
              </w:rPr>
            </w:pPr>
            <w:r>
              <w:rPr>
                <w:rFonts w:ascii="Tinos" w:hAnsi="Tinos" w:eastAsia="Tinos" w:cs="Tinos"/>
                <w:b/>
                <w:bCs/>
                <w:lang w:eastAsia="ru-RU"/>
              </w:rPr>
              <w:t xml:space="preserve">ПОСТАВЩИК:</w:t>
            </w:r>
            <w:r>
              <w:rPr>
                <w:rFonts w:ascii="Tinos" w:hAnsi="Tinos" w:cs="Tinos"/>
                <w:b/>
                <w:bCs/>
              </w:rPr>
            </w:r>
          </w:p>
          <w:p>
            <w:pPr>
              <w:jc w:val="both"/>
              <w:spacing w:after="0" w:line="17" w:lineRule="atLeast"/>
              <w:widowControl w:val="off"/>
              <w:rPr>
                <w:rFonts w:ascii="Tinos" w:hAnsi="Tinos" w:cs="Tinos"/>
                <w:b/>
                <w:bCs/>
              </w:rPr>
            </w:pPr>
            <w:r>
              <w:rPr>
                <w:rFonts w:ascii="Tinos" w:hAnsi="Tinos" w:cs="Tinos"/>
                <w:b/>
                <w:bCs/>
              </w:rPr>
            </w:r>
            <w:r>
              <w:rPr>
                <w:rFonts w:ascii="Tinos" w:hAnsi="Tinos" w:cs="Tinos"/>
                <w:b/>
                <w:bCs/>
              </w:rPr>
            </w:r>
          </w:p>
          <w:p>
            <w:pPr>
              <w:ind w:left="-108" w:firstLine="108"/>
              <w:jc w:val="both"/>
              <w:spacing w:after="0" w:line="17" w:lineRule="atLeast"/>
              <w:widowControl w:val="off"/>
              <w:rPr>
                <w:rFonts w:ascii="Tinos" w:hAnsi="Tinos" w:cs="Tinos"/>
                <w:b/>
                <w:bCs/>
              </w:rPr>
            </w:pPr>
            <w:r>
              <w:rPr>
                <w:rFonts w:ascii="Tinos" w:hAnsi="Tinos" w:eastAsia="Tinos" w:cs="Tinos"/>
                <w:b/>
                <w:bCs/>
                <w:lang w:eastAsia="ru-RU"/>
              </w:rPr>
              <w:t xml:space="preserve">__________________/_______________/ </w:t>
            </w:r>
            <w:r>
              <w:rPr>
                <w:rFonts w:ascii="Tinos" w:hAnsi="Tinos" w:cs="Tinos"/>
                <w:b/>
                <w:bCs/>
              </w:rPr>
            </w:r>
          </w:p>
          <w:p>
            <w:pPr>
              <w:ind w:left="-108" w:firstLine="108"/>
              <w:jc w:val="both"/>
              <w:spacing w:after="0" w:line="17" w:lineRule="atLeast"/>
              <w:widowControl w:val="off"/>
              <w:rPr>
                <w:rFonts w:ascii="Tinos" w:hAnsi="Tinos" w:cs="Tinos"/>
                <w:b/>
                <w:bCs/>
              </w:rPr>
            </w:pPr>
            <w:r>
              <w:rPr>
                <w:rFonts w:ascii="Tinos" w:hAnsi="Tinos" w:eastAsia="Tinos" w:cs="Tinos"/>
                <w:b/>
                <w:bCs/>
                <w:lang w:eastAsia="ru-RU"/>
              </w:rPr>
              <w:t xml:space="preserve">М.П.</w:t>
            </w:r>
            <w:r>
              <w:rPr>
                <w:rFonts w:ascii="Tinos" w:hAnsi="Tinos" w:cs="Tinos"/>
                <w:b/>
                <w:bCs/>
              </w:rPr>
            </w:r>
          </w:p>
          <w:p>
            <w:pPr>
              <w:ind w:left="-108" w:firstLine="108"/>
              <w:jc w:val="both"/>
              <w:spacing w:after="0" w:line="17" w:lineRule="atLeast"/>
              <w:widowControl w:val="off"/>
              <w:rPr>
                <w:rFonts w:ascii="Tinos" w:hAnsi="Tinos" w:cs="Tinos"/>
                <w:b/>
                <w:bCs/>
              </w:rPr>
            </w:pPr>
            <w:r>
              <w:rPr>
                <w:rFonts w:ascii="Tinos" w:hAnsi="Tinos" w:cs="Tinos"/>
                <w:b/>
                <w:bCs/>
              </w:rPr>
            </w:r>
            <w:r>
              <w:rPr>
                <w:rFonts w:ascii="Tinos" w:hAnsi="Tinos" w:cs="Tinos"/>
                <w:b/>
                <w:bCs/>
              </w:rPr>
            </w:r>
          </w:p>
          <w:p>
            <w:pPr>
              <w:ind w:left="-108" w:firstLine="108"/>
              <w:jc w:val="both"/>
              <w:spacing w:after="0" w:line="17" w:lineRule="atLeast"/>
              <w:widowControl w:val="off"/>
              <w:rPr>
                <w:rFonts w:ascii="Tinos" w:hAnsi="Tinos" w:cs="Tinos"/>
                <w:b/>
                <w:bCs/>
              </w:rPr>
            </w:pPr>
            <w:r>
              <w:rPr>
                <w:rFonts w:ascii="Tinos" w:hAnsi="Tinos" w:eastAsia="Tinos" w:cs="Tinos"/>
                <w:b/>
                <w:bCs/>
                <w:lang w:eastAsia="ru-RU"/>
              </w:rPr>
              <w:t xml:space="preserve">«____» __________ 202_ г.</w:t>
            </w:r>
            <w:r>
              <w:rPr>
                <w:rFonts w:ascii="Tinos" w:hAnsi="Tinos" w:cs="Tinos"/>
                <w:b/>
                <w:bCs/>
              </w:rPr>
            </w:r>
          </w:p>
        </w:tc>
        <w:tc>
          <w:tcPr>
            <w:tcW w:w="4923" w:type="dxa"/>
            <w:textDirection w:val="lrTb"/>
            <w:noWrap w:val="false"/>
          </w:tcPr>
          <w:p>
            <w:pPr>
              <w:ind w:firstLine="530"/>
              <w:jc w:val="both"/>
              <w:spacing w:after="0" w:line="17" w:lineRule="atLeast"/>
              <w:widowControl w:val="off"/>
              <w:rPr>
                <w:rFonts w:ascii="Tinos" w:hAnsi="Tinos" w:cs="Tinos"/>
                <w:b/>
                <w:bCs/>
              </w:rPr>
            </w:pPr>
            <w:r>
              <w:rPr>
                <w:rFonts w:ascii="Tinos" w:hAnsi="Tinos" w:eastAsia="Tinos" w:cs="Tinos"/>
                <w:b/>
                <w:bCs/>
                <w:lang w:eastAsia="ru-RU"/>
              </w:rPr>
              <w:t xml:space="preserve">ПОКУПАТЕЛЬ:</w:t>
            </w:r>
            <w:r>
              <w:rPr>
                <w:rFonts w:ascii="Tinos" w:hAnsi="Tinos" w:cs="Tinos"/>
                <w:b/>
                <w:bCs/>
              </w:rPr>
            </w:r>
          </w:p>
          <w:p>
            <w:pPr>
              <w:ind w:left="-107" w:firstLine="709"/>
              <w:jc w:val="both"/>
              <w:spacing w:after="0" w:line="17" w:lineRule="atLeast"/>
              <w:widowControl w:val="off"/>
              <w:rPr>
                <w:rFonts w:ascii="Tinos" w:hAnsi="Tinos" w:cs="Tinos"/>
                <w:b/>
                <w:bCs/>
              </w:rPr>
            </w:pPr>
            <w:r>
              <w:rPr>
                <w:rFonts w:ascii="Tinos" w:hAnsi="Tinos" w:cs="Tinos"/>
                <w:b/>
                <w:bCs/>
              </w:rPr>
            </w:r>
            <w:r>
              <w:rPr>
                <w:rFonts w:ascii="Tinos" w:hAnsi="Tinos" w:cs="Tinos"/>
                <w:b/>
                <w:bCs/>
              </w:rPr>
            </w:r>
          </w:p>
          <w:p>
            <w:pPr>
              <w:ind w:left="-107" w:firstLine="709"/>
              <w:jc w:val="both"/>
              <w:spacing w:after="0" w:line="17" w:lineRule="atLeast"/>
              <w:widowControl w:val="off"/>
              <w:tabs>
                <w:tab w:val="left" w:pos="2580" w:leader="none"/>
              </w:tabs>
              <w:rPr>
                <w:rFonts w:ascii="Tinos" w:hAnsi="Tinos" w:cs="Tinos"/>
                <w:b/>
                <w:bCs/>
              </w:rPr>
            </w:pPr>
            <w:r>
              <w:rPr>
                <w:rFonts w:ascii="Tinos" w:hAnsi="Tinos" w:eastAsia="Tinos" w:cs="Tinos"/>
                <w:b/>
                <w:bCs/>
                <w:lang w:eastAsia="ru-RU"/>
              </w:rPr>
              <w:t xml:space="preserve">__________________/ Лукин А.В. / </w:t>
            </w:r>
            <w:r>
              <w:rPr>
                <w:rFonts w:ascii="Tinos" w:hAnsi="Tinos" w:cs="Tinos"/>
                <w:b/>
                <w:bCs/>
              </w:rPr>
            </w:r>
          </w:p>
          <w:p>
            <w:pPr>
              <w:ind w:left="-107" w:firstLine="709"/>
              <w:jc w:val="both"/>
              <w:spacing w:after="0" w:line="17" w:lineRule="atLeast"/>
              <w:widowControl w:val="off"/>
              <w:rPr>
                <w:rFonts w:ascii="Tinos" w:hAnsi="Tinos" w:cs="Tinos"/>
                <w:b/>
                <w:bCs/>
              </w:rPr>
            </w:pPr>
            <w:r>
              <w:rPr>
                <w:rFonts w:ascii="Tinos" w:hAnsi="Tinos" w:eastAsia="Tinos" w:cs="Tinos"/>
                <w:b/>
                <w:bCs/>
                <w:lang w:eastAsia="ru-RU"/>
              </w:rPr>
              <w:t xml:space="preserve">М.П.</w:t>
            </w:r>
            <w:r>
              <w:rPr>
                <w:rFonts w:ascii="Tinos" w:hAnsi="Tinos" w:cs="Tinos"/>
                <w:b/>
                <w:bCs/>
              </w:rPr>
            </w:r>
          </w:p>
          <w:p>
            <w:pPr>
              <w:ind w:left="-107" w:firstLine="709"/>
              <w:jc w:val="both"/>
              <w:spacing w:after="0" w:line="17" w:lineRule="atLeast"/>
              <w:widowControl w:val="off"/>
              <w:rPr>
                <w:rFonts w:ascii="Tinos" w:hAnsi="Tinos" w:cs="Tinos"/>
                <w:b/>
                <w:bCs/>
              </w:rPr>
            </w:pPr>
            <w:r>
              <w:rPr>
                <w:rFonts w:ascii="Tinos" w:hAnsi="Tinos" w:cs="Tinos"/>
                <w:b/>
                <w:bCs/>
              </w:rPr>
            </w:r>
            <w:r>
              <w:rPr>
                <w:rFonts w:ascii="Tinos" w:hAnsi="Tinos" w:cs="Tinos"/>
                <w:b/>
                <w:bCs/>
              </w:rPr>
            </w:r>
          </w:p>
          <w:p>
            <w:pPr>
              <w:ind w:left="-107" w:firstLine="709"/>
              <w:jc w:val="both"/>
              <w:spacing w:after="0" w:line="17" w:lineRule="atLeast"/>
              <w:widowControl w:val="off"/>
              <w:rPr>
                <w:rFonts w:ascii="Tinos" w:hAnsi="Tinos" w:cs="Tinos"/>
                <w:b/>
                <w:bCs/>
              </w:rPr>
            </w:pPr>
            <w:r>
              <w:rPr>
                <w:rFonts w:ascii="Tinos" w:hAnsi="Tinos" w:eastAsia="Tinos" w:cs="Tinos"/>
                <w:b/>
                <w:bCs/>
                <w:lang w:eastAsia="ru-RU"/>
              </w:rPr>
              <w:t xml:space="preserve">«____» __________ 202_ г.</w:t>
            </w:r>
            <w:r>
              <w:rPr>
                <w:rFonts w:ascii="Tinos" w:hAnsi="Tinos" w:cs="Tinos"/>
                <w:b/>
                <w:bCs/>
              </w:rPr>
            </w:r>
          </w:p>
        </w:tc>
      </w:tr>
    </w:tbl>
    <w:p>
      <w:pPr>
        <w:spacing w:after="0" w:line="17" w:lineRule="atLeast"/>
        <w:tabs>
          <w:tab w:val="left" w:pos="7995" w:leader="none"/>
        </w:tabs>
        <w:rPr>
          <w:rFonts w:ascii="Tinos" w:hAnsi="Tinos" w:cs="Tinos"/>
          <w:sz w:val="20"/>
          <w:szCs w:val="20"/>
        </w:rPr>
      </w:pPr>
      <w:r>
        <w:rPr>
          <w:rFonts w:ascii="Tinos" w:hAnsi="Tinos" w:cs="Tinos"/>
          <w:sz w:val="20"/>
          <w:szCs w:val="20"/>
        </w:rPr>
      </w:r>
      <w:r>
        <w:rPr>
          <w:rFonts w:ascii="Tinos" w:hAnsi="Tinos" w:cs="Tinos"/>
          <w:sz w:val="20"/>
          <w:szCs w:val="20"/>
        </w:rPr>
      </w:r>
    </w:p>
    <w:p>
      <w:pPr>
        <w:spacing w:after="0" w:line="17" w:lineRule="atLeast"/>
        <w:tabs>
          <w:tab w:val="left" w:pos="7995" w:leader="none"/>
        </w:tabs>
        <w:rPr>
          <w:rFonts w:ascii="Tinos" w:hAnsi="Tinos" w:cs="Tinos"/>
          <w:sz w:val="20"/>
          <w:szCs w:val="20"/>
        </w:rPr>
      </w:pPr>
      <w:r>
        <w:rPr>
          <w:rFonts w:ascii="Tinos" w:hAnsi="Tinos" w:cs="Tinos"/>
          <w:sz w:val="20"/>
          <w:szCs w:val="20"/>
        </w:rPr>
      </w:r>
      <w:r>
        <w:rPr>
          <w:rFonts w:ascii="Tinos" w:hAnsi="Tinos" w:cs="Tinos"/>
          <w:sz w:val="20"/>
          <w:szCs w:val="20"/>
        </w:rPr>
      </w:r>
    </w:p>
    <w:p>
      <w:pPr>
        <w:spacing w:after="0" w:line="17" w:lineRule="atLeast"/>
        <w:tabs>
          <w:tab w:val="left" w:pos="7995" w:leader="none"/>
        </w:tabs>
        <w:rPr>
          <w:rFonts w:ascii="Tinos" w:hAnsi="Tinos" w:cs="Tinos"/>
          <w:sz w:val="20"/>
          <w:szCs w:val="20"/>
        </w:rPr>
      </w:pPr>
      <w:r>
        <w:rPr>
          <w:rFonts w:ascii="Tinos" w:hAnsi="Tinos" w:cs="Tinos"/>
          <w:sz w:val="20"/>
          <w:szCs w:val="20"/>
        </w:rPr>
      </w:r>
      <w:r>
        <w:rPr>
          <w:rFonts w:ascii="Tinos" w:hAnsi="Tinos" w:cs="Tinos"/>
          <w:sz w:val="20"/>
          <w:szCs w:val="20"/>
        </w:rPr>
      </w:r>
    </w:p>
    <w:p>
      <w:pPr>
        <w:spacing w:after="0" w:line="17" w:lineRule="atLeast"/>
        <w:tabs>
          <w:tab w:val="left" w:pos="7995" w:leader="none"/>
        </w:tabs>
        <w:rPr>
          <w:rFonts w:ascii="Tinos" w:hAnsi="Tinos" w:cs="Tinos"/>
          <w:sz w:val="20"/>
          <w:szCs w:val="20"/>
        </w:rPr>
      </w:pPr>
      <w:r>
        <w:rPr>
          <w:rFonts w:ascii="Tinos" w:hAnsi="Tinos" w:cs="Tinos"/>
          <w:sz w:val="20"/>
          <w:szCs w:val="20"/>
        </w:rPr>
      </w:r>
      <w:r>
        <w:rPr>
          <w:rFonts w:ascii="Tinos" w:hAnsi="Tinos" w:cs="Tinos"/>
          <w:sz w:val="20"/>
          <w:szCs w:val="20"/>
        </w:rPr>
      </w:r>
    </w:p>
    <w:p>
      <w:pPr>
        <w:spacing w:after="0" w:line="17" w:lineRule="atLeast"/>
        <w:tabs>
          <w:tab w:val="left" w:pos="7995" w:leader="none"/>
        </w:tabs>
        <w:rPr>
          <w:rFonts w:ascii="Tinos" w:hAnsi="Tinos" w:cs="Tinos"/>
          <w:sz w:val="20"/>
          <w:szCs w:val="20"/>
        </w:rPr>
      </w:pPr>
      <w:r>
        <w:rPr>
          <w:rFonts w:ascii="Tinos" w:hAnsi="Tinos" w:cs="Tinos"/>
          <w:sz w:val="20"/>
          <w:szCs w:val="20"/>
        </w:rPr>
      </w:r>
      <w:r>
        <w:rPr>
          <w:rFonts w:ascii="Tinos" w:hAnsi="Tinos" w:cs="Tinos"/>
          <w:sz w:val="20"/>
          <w:szCs w:val="20"/>
        </w:rPr>
      </w:r>
    </w:p>
    <w:p>
      <w:pPr>
        <w:spacing w:after="0" w:line="17" w:lineRule="atLeast"/>
        <w:tabs>
          <w:tab w:val="left" w:pos="7995" w:leader="none"/>
        </w:tabs>
        <w:rPr>
          <w:rFonts w:ascii="Tinos" w:hAnsi="Tinos" w:cs="Tinos"/>
          <w:sz w:val="20"/>
          <w:szCs w:val="20"/>
        </w:rPr>
      </w:pPr>
      <w:r>
        <w:rPr>
          <w:rFonts w:ascii="Tinos" w:hAnsi="Tinos" w:cs="Tinos"/>
          <w:sz w:val="20"/>
          <w:szCs w:val="20"/>
        </w:rPr>
      </w:r>
      <w:r>
        <w:rPr>
          <w:rFonts w:ascii="Tinos" w:hAnsi="Tinos" w:cs="Tinos"/>
          <w:sz w:val="20"/>
          <w:szCs w:val="20"/>
        </w:rPr>
      </w:r>
    </w:p>
    <w:p>
      <w:pPr>
        <w:tabs>
          <w:tab w:val="left" w:pos="7995" w:leader="none"/>
        </w:tabs>
      </w:pPr>
      <w:r/>
      <w:r/>
    </w:p>
    <w:p>
      <w:pPr>
        <w:tabs>
          <w:tab w:val="left" w:pos="7995" w:leader="none"/>
        </w:tabs>
      </w:pPr>
      <w:r/>
      <w:r/>
    </w:p>
    <w:p>
      <w:pPr>
        <w:spacing w:after="160" w:line="259" w:lineRule="auto"/>
      </w:pPr>
      <w:r>
        <w:br w:type="page" w:clear="all"/>
      </w:r>
      <w:r/>
    </w:p>
    <w:p>
      <w:pPr>
        <w:jc w:val="right"/>
        <w:spacing w:after="0" w:line="17" w:lineRule="atLeast"/>
        <w:rPr>
          <w:rFonts w:ascii="Tinos" w:hAnsi="Tinos" w:cs="Tinos"/>
        </w:rPr>
      </w:pPr>
      <w:r>
        <w:rPr>
          <w:rFonts w:ascii="Tinos" w:hAnsi="Tinos" w:eastAsia="Tinos" w:cs="Tinos"/>
          <w:lang w:eastAsia="ru-RU"/>
        </w:rPr>
        <w:t xml:space="preserve">Приложение № 6</w:t>
      </w:r>
      <w:r>
        <w:rPr>
          <w:rFonts w:ascii="Tinos" w:hAnsi="Tinos" w:cs="Tinos"/>
        </w:rPr>
      </w:r>
    </w:p>
    <w:p>
      <w:pPr>
        <w:ind w:left="5672" w:firstLine="709"/>
        <w:jc w:val="right"/>
        <w:spacing w:after="0" w:line="17" w:lineRule="atLeast"/>
        <w:rPr>
          <w:rFonts w:ascii="Tinos" w:hAnsi="Tinos" w:cs="Tinos"/>
        </w:rPr>
      </w:pPr>
      <w:r>
        <w:rPr>
          <w:rFonts w:ascii="Tinos" w:hAnsi="Tinos" w:eastAsia="Tinos" w:cs="Tinos"/>
          <w:lang w:eastAsia="ru-RU"/>
        </w:rPr>
        <w:t xml:space="preserve">к Договору №___________________</w:t>
      </w:r>
      <w:r>
        <w:rPr>
          <w:rFonts w:ascii="Tinos" w:hAnsi="Tinos" w:cs="Tinos"/>
        </w:rPr>
      </w:r>
    </w:p>
    <w:p>
      <w:pPr>
        <w:jc w:val="right"/>
        <w:spacing w:after="0" w:line="17" w:lineRule="atLeast"/>
        <w:tabs>
          <w:tab w:val="left" w:pos="7995" w:leader="none"/>
        </w:tabs>
        <w:rPr>
          <w:rFonts w:ascii="Tinos" w:hAnsi="Tinos" w:cs="Tinos"/>
        </w:rPr>
      </w:pPr>
      <w:r>
        <w:rPr>
          <w:rFonts w:ascii="Tinos" w:hAnsi="Tinos" w:eastAsia="Tinos" w:cs="Tinos"/>
          <w:lang w:eastAsia="ru-RU"/>
        </w:rPr>
        <w:t xml:space="preserve">от "____"________20__ г.</w:t>
      </w:r>
      <w:r>
        <w:rPr>
          <w:rFonts w:ascii="Tinos" w:hAnsi="Tinos" w:cs="Tinos"/>
        </w:rPr>
      </w:r>
    </w:p>
    <w:p>
      <w:pPr>
        <w:spacing w:after="0" w:line="17" w:lineRule="atLeast"/>
        <w:rPr>
          <w:rFonts w:ascii="Tinos" w:hAnsi="Tinos" w:cs="Tinos"/>
        </w:rPr>
      </w:pPr>
      <w:r>
        <w:rPr>
          <w:rFonts w:ascii="Tinos" w:hAnsi="Tinos" w:cs="Tinos"/>
        </w:rPr>
      </w:r>
      <w:r>
        <w:rPr>
          <w:rFonts w:ascii="Tinos" w:hAnsi="Tinos" w:cs="Tinos"/>
        </w:rPr>
      </w:r>
    </w:p>
    <w:p>
      <w:pPr>
        <w:jc w:val="center"/>
        <w:spacing w:after="0" w:line="17" w:lineRule="atLeast"/>
        <w:rPr>
          <w:rFonts w:ascii="Tinos" w:hAnsi="Tinos" w:cs="Tinos"/>
          <w:b/>
          <w:bCs/>
        </w:rPr>
      </w:pPr>
      <w:r>
        <w:rPr>
          <w:rFonts w:ascii="Tinos" w:hAnsi="Tinos" w:eastAsia="Tinos" w:cs="Tinos"/>
          <w:b/>
          <w:bCs/>
        </w:rPr>
        <w:t xml:space="preserve">ФОРМА Документа о приемке товара</w:t>
      </w:r>
      <w:r>
        <w:rPr>
          <w:rFonts w:ascii="Tinos" w:hAnsi="Tinos" w:cs="Tinos"/>
          <w:b/>
          <w:bCs/>
        </w:rPr>
      </w:r>
    </w:p>
    <w:p>
      <w:pPr>
        <w:ind w:firstLine="567"/>
        <w:jc w:val="both"/>
        <w:spacing w:after="0" w:line="17" w:lineRule="atLeast"/>
        <w:tabs>
          <w:tab w:val="left" w:pos="0" w:leader="none"/>
          <w:tab w:val="left" w:pos="1276" w:leader="none"/>
          <w:tab w:val="num" w:pos="1626" w:leader="none"/>
          <w:tab w:val="num" w:pos="1909" w:leader="none"/>
        </w:tabs>
        <w:rPr>
          <w:rFonts w:ascii="Tinos" w:hAnsi="Tinos" w:cs="Tinos"/>
          <w:bCs/>
        </w:rPr>
      </w:pPr>
      <w:r>
        <w:rPr>
          <w:rFonts w:ascii="Tinos" w:hAnsi="Tinos" w:eastAsia="Tinos" w:cs="Tinos"/>
          <w:bCs/>
        </w:rPr>
        <w:t xml:space="preserve">Поставщик подтверждает, что указанная унифицированная форма утверждена руководителем Поставщика. </w:t>
      </w:r>
      <w:r>
        <w:rPr>
          <w:rFonts w:ascii="Tinos" w:hAnsi="Tinos" w:cs="Tinos"/>
          <w:bCs/>
        </w:rPr>
      </w:r>
    </w:p>
    <w:p>
      <w:pPr>
        <w:spacing w:after="0" w:line="17" w:lineRule="atLeast"/>
        <w:rPr>
          <w:rFonts w:ascii="Tinos" w:hAnsi="Tinos" w:cs="Tinos"/>
          <w:b/>
          <w:bCs/>
        </w:rPr>
      </w:pPr>
      <w:r>
        <w:rPr>
          <w:rFonts w:ascii="Tinos" w:hAnsi="Tinos" w:cs="Tinos"/>
          <w:b/>
          <w:bCs/>
        </w:rPr>
      </w:r>
      <w:r>
        <w:rPr>
          <w:rFonts w:ascii="Tinos" w:hAnsi="Tinos" w:cs="Tinos"/>
          <w:b/>
          <w:bCs/>
        </w:rPr>
      </w:r>
    </w:p>
    <w:p>
      <w:pPr>
        <w:ind w:firstLine="567"/>
        <w:jc w:val="both"/>
        <w:spacing w:after="0" w:line="17" w:lineRule="atLeast"/>
        <w:widowControl w:val="off"/>
        <w:tabs>
          <w:tab w:val="left" w:pos="0" w:leader="none"/>
          <w:tab w:val="left" w:pos="1276" w:leader="none"/>
          <w:tab w:val="num" w:pos="1626" w:leader="none"/>
          <w:tab w:val="num" w:pos="1909" w:leader="none"/>
        </w:tabs>
        <w:rPr>
          <w:rFonts w:ascii="Tinos" w:hAnsi="Tinos" w:cs="Tinos"/>
          <w:bCs/>
        </w:rPr>
      </w:pPr>
      <w:r>
        <w:rPr>
          <w:rFonts w:ascii="Tinos" w:hAnsi="Tinos" w:eastAsia="Tinos" w:cs="Tinos"/>
          <w:bCs/>
        </w:rPr>
        <w:t xml:space="preserve">- унифицированной формы 1-Т, утвержденной постановлением Госкомстата России</w:t>
      </w:r>
      <w:r>
        <w:rPr>
          <w:rFonts w:ascii="Tinos" w:hAnsi="Tinos" w:eastAsia="Tinos" w:cs="Tinos"/>
          <w:bCs/>
        </w:rPr>
        <w:br/>
        <w:t xml:space="preserve">от 28.11.1997 № 78.</w:t>
      </w:r>
      <w:r>
        <w:rPr>
          <w:rFonts w:ascii="Tinos" w:hAnsi="Tinos" w:cs="Tinos"/>
          <w:bCs/>
        </w:rPr>
      </w:r>
    </w:p>
    <w:p>
      <w:pPr>
        <w:pStyle w:val="1147"/>
        <w:ind w:firstLine="567"/>
        <w:jc w:val="both"/>
        <w:spacing w:after="0" w:line="17" w:lineRule="atLeast"/>
        <w:shd w:val="clear" w:color="auto" w:fill="ffffff"/>
        <w:rPr>
          <w:rFonts w:ascii="Tinos" w:hAnsi="Tinos" w:cs="Tinos"/>
          <w:sz w:val="22"/>
          <w:szCs w:val="22"/>
        </w:rPr>
      </w:pPr>
      <w:r>
        <w:rPr>
          <w:rFonts w:ascii="Tinos" w:hAnsi="Tinos" w:eastAsia="Tinos" w:cs="Tinos"/>
          <w:sz w:val="22"/>
          <w:szCs w:val="22"/>
          <w:lang w:val="ru-RU"/>
        </w:rPr>
        <w:t xml:space="preserve">- унифицированной формы МХ-1, утвержденной постановлением Госкомстата России </w:t>
      </w:r>
      <w:r>
        <w:rPr>
          <w:rFonts w:ascii="Tinos" w:hAnsi="Tinos" w:eastAsia="Tinos" w:cs="Tinos"/>
          <w:sz w:val="22"/>
          <w:szCs w:val="22"/>
          <w:lang w:val="ru-RU"/>
        </w:rPr>
        <w:br/>
        <w:t xml:space="preserve">от 09.08.1999 № 66.</w:t>
      </w:r>
      <w:r>
        <w:rPr>
          <w:rFonts w:ascii="Tinos" w:hAnsi="Tinos" w:cs="Tinos"/>
          <w:sz w:val="22"/>
          <w:szCs w:val="22"/>
        </w:rPr>
      </w:r>
    </w:p>
    <w:p>
      <w:pPr>
        <w:ind w:firstLine="567"/>
        <w:jc w:val="both"/>
        <w:spacing w:after="0" w:line="17" w:lineRule="atLeast"/>
        <w:widowControl w:val="off"/>
        <w:tabs>
          <w:tab w:val="left" w:pos="709" w:leader="none"/>
        </w:tabs>
        <w:rPr>
          <w:rFonts w:ascii="Tinos" w:hAnsi="Tinos" w:cs="Tinos"/>
          <w:bCs/>
        </w:rPr>
      </w:pPr>
      <w:r>
        <w:rPr>
          <w:rFonts w:ascii="Tinos" w:hAnsi="Tinos" w:eastAsia="Tinos" w:cs="Tinos"/>
          <w:bCs/>
        </w:rPr>
        <w:t xml:space="preserve">- унифицированной формы ТОРГ-12, утвержденной постановлением Г</w:t>
      </w:r>
      <w:r>
        <w:rPr>
          <w:rFonts w:ascii="Tinos" w:hAnsi="Tinos" w:eastAsia="Tinos" w:cs="Tinos"/>
          <w:bCs/>
        </w:rPr>
        <w:t xml:space="preserve">оскомстата России </w:t>
      </w:r>
      <w:r>
        <w:rPr>
          <w:rFonts w:ascii="Tinos" w:hAnsi="Tinos" w:eastAsia="Tinos" w:cs="Tinos"/>
          <w:bCs/>
        </w:rPr>
        <w:br/>
        <w:t xml:space="preserve">от 25.12.1998 № 132</w:t>
      </w:r>
      <w:r>
        <w:rPr>
          <w:rFonts w:ascii="Tinos" w:hAnsi="Tinos" w:eastAsia="Tinos" w:cs="Tinos"/>
          <w:bCs/>
          <w:vertAlign w:val="superscript"/>
        </w:rPr>
        <w:footnoteReference w:id="11"/>
      </w:r>
      <w:r>
        <w:rPr>
          <w:rFonts w:ascii="Tinos" w:hAnsi="Tinos" w:eastAsia="Tinos" w:cs="Tinos"/>
          <w:bCs/>
        </w:rPr>
        <w:t xml:space="preserve">;</w:t>
      </w:r>
      <w:r>
        <w:rPr>
          <w:rFonts w:ascii="Tinos" w:hAnsi="Tinos" w:cs="Tinos"/>
          <w:bCs/>
        </w:rPr>
      </w:r>
    </w:p>
    <w:p>
      <w:pPr>
        <w:ind w:firstLine="567"/>
        <w:spacing w:after="0" w:line="17" w:lineRule="atLeast"/>
        <w:tabs>
          <w:tab w:val="left" w:pos="7995" w:leader="none"/>
        </w:tabs>
        <w:sectPr>
          <w:headerReference w:type="default" r:id="rId9"/>
          <w:headerReference w:type="first" r:id="rId10"/>
          <w:footerReference w:type="default" r:id="rId11"/>
          <w:footerReference w:type="first" r:id="rId12"/>
          <w:footnotePr/>
          <w:endnotePr/>
          <w:type w:val="nextPage"/>
          <w:pgSz w:w="11907" w:h="16839" w:orient="portrait"/>
          <w:pgMar w:top="709" w:right="852" w:bottom="709" w:left="992" w:header="680" w:footer="0" w:gutter="0"/>
          <w:cols w:num="1" w:sep="0" w:space="720" w:equalWidth="1"/>
          <w:docGrid w:linePitch="360"/>
        </w:sectPr>
      </w:pPr>
      <w:r>
        <w:rPr>
          <w:rFonts w:ascii="Tinos" w:hAnsi="Tinos" w:eastAsia="Tinos" w:cs="Tinos"/>
          <w:bCs/>
        </w:rPr>
        <w:t xml:space="preserve">- универсального передаточного документа по форме, согласованной в Приложении к Договору (Приложение №_3)</w:t>
      </w:r>
      <w:r>
        <w:rPr>
          <w:rFonts w:ascii="Tinos" w:hAnsi="Tinos" w:eastAsia="Tinos" w:cs="Tinos"/>
          <w:bCs/>
          <w:vertAlign w:val="superscript"/>
        </w:rPr>
        <w:footnoteReference w:id="12"/>
      </w:r>
      <w:r>
        <w:rPr>
          <w:rFonts w:ascii="Tinos" w:hAnsi="Tinos" w:eastAsia="Tinos" w:cs="Tinos"/>
          <w:bCs/>
        </w:rPr>
        <w:t xml:space="preserve">.</w:t>
      </w:r>
      <w:r/>
    </w:p>
    <w:p>
      <w:pPr>
        <w:ind w:left="13183" w:firstLine="709"/>
        <w:jc w:val="both"/>
        <w:spacing w:after="0" w:line="240" w:lineRule="auto"/>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 xml:space="preserve">Приложение № 7</w:t>
      </w:r>
      <w:r>
        <w:rPr>
          <w:rFonts w:ascii="Times New Roman" w:hAnsi="Times New Roman" w:eastAsia="Times New Roman" w:cs="Times New Roman"/>
          <w:sz w:val="20"/>
          <w:szCs w:val="20"/>
          <w:lang w:eastAsia="ru-RU"/>
        </w:rPr>
      </w:r>
    </w:p>
    <w:p>
      <w:pPr>
        <w:ind w:left="12474"/>
        <w:jc w:val="both"/>
        <w:spacing w:after="0" w:line="240" w:lineRule="auto"/>
        <w:tabs>
          <w:tab w:val="left" w:pos="13467" w:leader="none"/>
        </w:tabs>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 xml:space="preserve">к Договору №_________________</w:t>
      </w:r>
      <w:r>
        <w:rPr>
          <w:rFonts w:ascii="Times New Roman" w:hAnsi="Times New Roman" w:eastAsia="Times New Roman" w:cs="Times New Roman"/>
          <w:sz w:val="20"/>
          <w:szCs w:val="20"/>
          <w:lang w:eastAsia="ru-RU"/>
        </w:rPr>
      </w:r>
    </w:p>
    <w:p>
      <w:pPr>
        <w:ind w:left="13183"/>
        <w:spacing w:after="0" w:line="240" w:lineRule="auto"/>
        <w:shd w:val="clear" w:color="auto" w:fill="ffffff"/>
        <w:widowControl w:val="off"/>
        <w:tabs>
          <w:tab w:val="left" w:pos="284" w:leader="none"/>
          <w:tab w:val="left" w:pos="426" w:leader="none"/>
          <w:tab w:val="left" w:pos="13467" w:leader="none"/>
        </w:tabs>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 xml:space="preserve">от  "____"________20__ г.</w:t>
      </w:r>
      <w:r>
        <w:rPr>
          <w:rFonts w:ascii="Times New Roman" w:hAnsi="Times New Roman" w:eastAsia="Times New Roman" w:cs="Times New Roman"/>
          <w:sz w:val="20"/>
          <w:szCs w:val="20"/>
          <w:lang w:eastAsia="ru-RU"/>
        </w:rPr>
      </w:r>
    </w:p>
    <w:p>
      <w:pPr>
        <w:ind w:firstLine="567"/>
        <w:jc w:val="center"/>
        <w:spacing w:after="0" w:line="240" w:lineRule="auto"/>
        <w:shd w:val="clear" w:color="auto" w:fill="ffffff"/>
        <w:widowControl w:val="off"/>
        <w:tabs>
          <w:tab w:val="left" w:pos="284" w:leader="none"/>
          <w:tab w:val="left" w:pos="426" w:leader="none"/>
        </w:tabs>
        <w:rPr>
          <w:rFonts w:ascii="Times New Roman" w:hAnsi="Times New Roman" w:cs="Times New Roman"/>
          <w:b/>
          <w:bCs/>
          <w:caps/>
          <w:sz w:val="24"/>
          <w:szCs w:val="24"/>
        </w:rPr>
      </w:pPr>
      <w:r>
        <w:rPr>
          <w:rFonts w:ascii="Times New Roman" w:hAnsi="Times New Roman" w:cs="Times New Roman"/>
          <w:b/>
          <w:bCs/>
          <w:caps/>
          <w:sz w:val="24"/>
          <w:szCs w:val="24"/>
        </w:rPr>
      </w:r>
      <w:r>
        <w:rPr>
          <w:rFonts w:ascii="Times New Roman" w:hAnsi="Times New Roman" w:cs="Times New Roman"/>
          <w:b/>
          <w:bCs/>
          <w:caps/>
          <w:sz w:val="24"/>
          <w:szCs w:val="24"/>
        </w:rPr>
      </w:r>
    </w:p>
    <w:p>
      <w:pPr>
        <w:ind w:firstLine="567"/>
        <w:jc w:val="center"/>
        <w:spacing w:after="0" w:line="240" w:lineRule="auto"/>
        <w:shd w:val="clear" w:color="auto" w:fill="ffffff"/>
        <w:widowControl w:val="off"/>
        <w:tabs>
          <w:tab w:val="left" w:pos="284" w:leader="none"/>
          <w:tab w:val="left" w:pos="426" w:leader="none"/>
        </w:tabs>
        <w:rPr>
          <w:rFonts w:ascii="Times New Roman" w:hAnsi="Times New Roman" w:cs="Times New Roman"/>
          <w:b/>
          <w:bCs/>
          <w:caps/>
        </w:rPr>
      </w:pPr>
      <w:r>
        <w:rPr>
          <w:rFonts w:ascii="Times New Roman" w:hAnsi="Times New Roman" w:cs="Times New Roman"/>
          <w:b/>
          <w:bCs/>
          <w:caps/>
        </w:rPr>
        <w:t xml:space="preserve">Обеспечение исполнения обязательств</w:t>
      </w:r>
      <w:r>
        <w:rPr>
          <w:rFonts w:ascii="Times New Roman" w:hAnsi="Times New Roman" w:cs="Times New Roman"/>
          <w:b/>
          <w:bCs/>
          <w:caps/>
        </w:rPr>
      </w:r>
    </w:p>
    <w:p>
      <w:pPr>
        <w:ind w:firstLine="567"/>
        <w:jc w:val="center"/>
        <w:spacing w:after="0" w:line="240" w:lineRule="auto"/>
        <w:shd w:val="clear" w:color="auto" w:fill="ffffff"/>
        <w:widowControl w:val="off"/>
        <w:tabs>
          <w:tab w:val="left" w:pos="284" w:leader="none"/>
          <w:tab w:val="left" w:pos="426" w:leader="none"/>
        </w:tabs>
        <w:rPr>
          <w:rFonts w:ascii="Times New Roman" w:hAnsi="Times New Roman" w:cs="Times New Roman"/>
          <w:b/>
          <w:bCs/>
          <w:caps/>
        </w:rPr>
      </w:pPr>
      <w:r>
        <w:rPr>
          <w:rFonts w:ascii="Times New Roman" w:hAnsi="Times New Roman" w:cs="Times New Roman"/>
          <w:b/>
          <w:bCs/>
          <w:caps/>
        </w:rPr>
      </w:r>
      <w:r>
        <w:rPr>
          <w:rFonts w:ascii="Times New Roman" w:hAnsi="Times New Roman" w:cs="Times New Roman"/>
          <w:b/>
          <w:bCs/>
          <w:caps/>
        </w:rPr>
      </w:r>
    </w:p>
    <w:p>
      <w:pPr>
        <w:numPr>
          <w:ilvl w:val="0"/>
          <w:numId w:val="59"/>
        </w:numPr>
        <w:contextualSpacing/>
        <w:jc w:val="both"/>
        <w:spacing w:after="0" w:line="240" w:lineRule="auto"/>
        <w:widowControl w:val="off"/>
        <w:rPr>
          <w:rFonts w:ascii="Times New Roman" w:hAnsi="Times New Roman" w:eastAsia="Times New Roman" w:cs="Times New Roman"/>
          <w:lang w:eastAsia="ru-RU"/>
        </w:rPr>
      </w:pPr>
      <w:r/>
      <w:bookmarkStart w:id="5" w:name="_Ref414630194"/>
      <w:r/>
      <w:bookmarkStart w:id="6" w:name="_Ref415319910"/>
      <w:r>
        <w:rPr>
          <w:rFonts w:ascii="Times New Roman" w:hAnsi="Times New Roman" w:eastAsia="Times New Roman" w:cs="Times New Roman"/>
          <w:lang w:eastAsia="ru-RU"/>
        </w:rPr>
        <w:t xml:space="preserve">Надлежащее исполнение обязательств Поставщика по Договору обеспечивается одним из способов обеспечения:</w:t>
      </w:r>
      <w:r>
        <w:rPr>
          <w:rFonts w:ascii="Times New Roman" w:hAnsi="Times New Roman" w:eastAsia="Times New Roman" w:cs="Times New Roman"/>
          <w:lang w:eastAsia="ru-RU"/>
        </w:rPr>
      </w:r>
    </w:p>
    <w:p>
      <w:pPr>
        <w:contextualSpacing/>
        <w:ind w:firstLine="709"/>
        <w:jc w:val="both"/>
        <w:spacing w:after="0" w:line="240" w:lineRule="auto"/>
        <w:widowControl w:val="off"/>
        <w:rPr>
          <w:rFonts w:ascii="Times New Roman" w:hAnsi="Times New Roman" w:eastAsia="Times New Roman" w:cs="Times New Roman"/>
          <w:lang w:eastAsia="ru-RU"/>
        </w:rPr>
      </w:pPr>
      <w:r>
        <w:rPr>
          <w:rFonts w:ascii="Times New Roman" w:hAnsi="Times New Roman" w:eastAsia="Times New Roman" w:cs="Times New Roman"/>
          <w:lang w:eastAsia="ru-RU"/>
        </w:rPr>
        <w:t xml:space="preserve">1.1. Независимой гарантией;</w:t>
      </w:r>
      <w:r>
        <w:rPr>
          <w:rFonts w:ascii="Times New Roman" w:hAnsi="Times New Roman" w:eastAsia="Times New Roman" w:cs="Times New Roman"/>
          <w:lang w:eastAsia="ru-RU"/>
        </w:rPr>
      </w:r>
    </w:p>
    <w:p>
      <w:pPr>
        <w:contextualSpacing/>
        <w:ind w:firstLine="709"/>
        <w:jc w:val="both"/>
        <w:spacing w:after="0" w:line="240" w:lineRule="auto"/>
        <w:widowControl w:val="off"/>
        <w:rPr>
          <w:rFonts w:ascii="Times New Roman" w:hAnsi="Times New Roman" w:eastAsia="Times New Roman" w:cs="Times New Roman"/>
          <w:lang w:eastAsia="ru-RU"/>
        </w:rPr>
      </w:pPr>
      <w:r>
        <w:rPr>
          <w:rFonts w:ascii="Times New Roman" w:hAnsi="Times New Roman" w:eastAsia="Times New Roman" w:cs="Times New Roman"/>
          <w:lang w:eastAsia="ru-RU"/>
        </w:rPr>
        <w:t xml:space="preserve">1.2. Гарантийным депозитом, сформированным в порядке и в сумме, указанных в п. 18 настоящего приложения;</w:t>
      </w:r>
      <w:r>
        <w:rPr>
          <w:rFonts w:ascii="Times New Roman" w:hAnsi="Times New Roman" w:eastAsia="Times New Roman" w:cs="Times New Roman"/>
          <w:lang w:eastAsia="ru-RU"/>
        </w:rPr>
      </w:r>
    </w:p>
    <w:p>
      <w:pPr>
        <w:contextualSpacing/>
        <w:ind w:firstLine="709"/>
        <w:jc w:val="both"/>
        <w:spacing w:after="0" w:line="240" w:lineRule="auto"/>
        <w:widowControl w:val="off"/>
        <w:rPr>
          <w:rFonts w:ascii="Times New Roman" w:hAnsi="Times New Roman" w:eastAsia="Times New Roman" w:cs="Times New Roman"/>
          <w:lang w:eastAsia="ru-RU"/>
        </w:rPr>
      </w:pPr>
      <w:r>
        <w:rPr>
          <w:rFonts w:ascii="Times New Roman" w:hAnsi="Times New Roman" w:eastAsia="Times New Roman" w:cs="Times New Roman"/>
          <w:lang w:eastAsia="ru-RU"/>
        </w:rPr>
        <w:t xml:space="preserve">1.3. Обеспечительны</w:t>
      </w:r>
      <w:r>
        <w:rPr>
          <w:rFonts w:ascii="Times New Roman" w:hAnsi="Times New Roman" w:eastAsia="Times New Roman" w:cs="Times New Roman"/>
          <w:lang w:eastAsia="ru-RU"/>
        </w:rPr>
        <w:t xml:space="preserve">м платежом.</w:t>
      </w:r>
      <w:r>
        <w:rPr>
          <w:rFonts w:ascii="Times New Roman" w:hAnsi="Times New Roman" w:eastAsia="Times New Roman" w:cs="Times New Roman"/>
          <w:lang w:eastAsia="ru-RU"/>
        </w:rPr>
      </w:r>
    </w:p>
    <w:p>
      <w:pPr>
        <w:numPr>
          <w:ilvl w:val="0"/>
          <w:numId w:val="59"/>
        </w:numPr>
        <w:contextualSpacing/>
        <w:jc w:val="both"/>
        <w:spacing w:after="0" w:line="240" w:lineRule="auto"/>
        <w:widowControl w:val="off"/>
        <w:rPr>
          <w:rFonts w:ascii="Times New Roman" w:hAnsi="Times New Roman" w:eastAsia="Times New Roman" w:cs="Times New Roman"/>
          <w:lang w:eastAsia="ru-RU"/>
        </w:rPr>
      </w:pPr>
      <w:r>
        <w:rPr>
          <w:rFonts w:ascii="Times New Roman" w:hAnsi="Times New Roman" w:eastAsia="Times New Roman" w:cs="Times New Roman"/>
          <w:lang w:eastAsia="ru-RU"/>
        </w:rPr>
        <w:t xml:space="preserve">Надлежащее исполнение обязательств Поставщика по Договору может обеспечиваться следующими видами независимых гарантий: </w:t>
      </w:r>
      <w:r>
        <w:rPr>
          <w:rFonts w:ascii="Times New Roman" w:hAnsi="Times New Roman" w:eastAsia="Times New Roman" w:cs="Times New Roman"/>
          <w:lang w:eastAsia="ru-RU"/>
        </w:rPr>
      </w:r>
    </w:p>
    <w:p>
      <w:pPr>
        <w:contextualSpacing/>
        <w:ind w:firstLine="709"/>
        <w:jc w:val="both"/>
        <w:spacing w:after="0" w:line="240" w:lineRule="auto"/>
        <w:widowControl w:val="off"/>
        <w:rPr>
          <w:rFonts w:ascii="Times New Roman" w:hAnsi="Times New Roman" w:eastAsia="Times New Roman" w:cs="Times New Roman"/>
          <w:lang w:eastAsia="ru-RU"/>
        </w:rPr>
      </w:pPr>
      <w:r>
        <w:rPr>
          <w:rFonts w:ascii="Times New Roman" w:hAnsi="Times New Roman" w:eastAsia="Times New Roman" w:cs="Times New Roman"/>
          <w:i/>
          <w:highlight w:val="yellow"/>
          <w:lang w:eastAsia="ru-RU"/>
        </w:rPr>
        <w:t xml:space="preserve">Вариант а) - для применения в рамках договора, заключаемого по результатам конкурентной закупки, не предусматривающей участи</w:t>
      </w:r>
      <w:r>
        <w:rPr>
          <w:rFonts w:ascii="Times New Roman" w:hAnsi="Times New Roman" w:eastAsia="Times New Roman" w:cs="Times New Roman"/>
          <w:i/>
          <w:highlight w:val="yellow"/>
          <w:lang w:eastAsia="ru-RU"/>
        </w:rPr>
        <w:t xml:space="preserve">е только субъектов МСП.</w:t>
      </w:r>
      <w:r>
        <w:rPr>
          <w:rFonts w:ascii="Times New Roman" w:hAnsi="Times New Roman" w:eastAsia="Times New Roman" w:cs="Times New Roman"/>
          <w:lang w:eastAsia="ru-RU"/>
        </w:rPr>
      </w:r>
    </w:p>
    <w:p>
      <w:pPr>
        <w:contextualSpacing/>
        <w:ind w:firstLine="709"/>
        <w:jc w:val="both"/>
        <w:spacing w:after="0" w:line="240" w:lineRule="auto"/>
        <w:widowControl w:val="off"/>
        <w:rPr>
          <w:rFonts w:ascii="Times New Roman" w:hAnsi="Times New Roman" w:eastAsia="Times New Roman" w:cs="Times New Roman"/>
          <w:i/>
          <w:iCs/>
          <w:lang w:eastAsia="ru-RU"/>
        </w:rPr>
      </w:pPr>
      <w:r>
        <w:rPr>
          <w:rFonts w:ascii="Times New Roman" w:hAnsi="Times New Roman" w:eastAsia="Times New Roman" w:cs="Times New Roman"/>
          <w:lang w:eastAsia="ru-RU"/>
        </w:rPr>
        <w:t xml:space="preserve">2.1.</w:t>
      </w:r>
      <w:r>
        <w:rPr>
          <w:rFonts w:ascii="Times New Roman" w:hAnsi="Times New Roman" w:eastAsia="Times New Roman" w:cs="Times New Roman"/>
          <w:i/>
          <w:iCs/>
          <w:lang w:eastAsia="ru-RU"/>
        </w:rPr>
        <w:t xml:space="preserve"> </w:t>
      </w:r>
      <w:r>
        <w:rPr>
          <w:rFonts w:ascii="Times New Roman" w:hAnsi="Times New Roman" w:eastAsia="Times New Roman" w:cs="Times New Roman"/>
          <w:b/>
          <w:i/>
          <w:iCs/>
          <w:lang w:eastAsia="ru-RU"/>
        </w:rPr>
        <w:t xml:space="preserve">(пункт применяется только при II ва</w:t>
      </w:r>
      <w:r>
        <w:rPr>
          <w:rFonts w:ascii="Times New Roman" w:hAnsi="Times New Roman" w:eastAsia="Times New Roman" w:cs="Times New Roman"/>
          <w:b/>
          <w:bCs/>
          <w:i/>
          <w:iCs/>
          <w:lang w:eastAsia="ru-RU"/>
        </w:rPr>
        <w:t xml:space="preserve">рианте п. 4.2 настоящего Договора, предполагающем выплату авансовых платежей)</w:t>
      </w:r>
      <w:r>
        <w:rPr>
          <w:rFonts w:ascii="Times New Roman" w:hAnsi="Times New Roman" w:eastAsia="Times New Roman" w:cs="Times New Roman"/>
          <w:i/>
          <w:iCs/>
          <w:lang w:eastAsia="ru-RU"/>
        </w:rPr>
        <w:t xml:space="preserve"> </w:t>
      </w:r>
      <w:r>
        <w:rPr>
          <w:rFonts w:ascii="Times New Roman" w:hAnsi="Times New Roman" w:eastAsia="Times New Roman" w:cs="Times New Roman"/>
          <w:i/>
          <w:iCs/>
          <w:lang w:eastAsia="ru-RU"/>
        </w:rPr>
      </w:r>
    </w:p>
    <w:p>
      <w:pPr>
        <w:contextualSpacing/>
        <w:ind w:firstLine="709"/>
        <w:jc w:val="both"/>
        <w:spacing w:after="0" w:line="240" w:lineRule="auto"/>
        <w:widowControl w:val="off"/>
        <w:rPr>
          <w:rFonts w:ascii="Times New Roman" w:hAnsi="Times New Roman" w:eastAsia="Times New Roman" w:cs="Times New Roman"/>
          <w:lang w:eastAsia="ru-RU"/>
        </w:rPr>
      </w:pPr>
      <w:r>
        <w:rPr>
          <w:rFonts w:ascii="Times New Roman" w:hAnsi="Times New Roman" w:eastAsia="Times New Roman" w:cs="Times New Roman"/>
          <w:lang w:eastAsia="ru-RU"/>
        </w:rPr>
        <w:t xml:space="preserve">Независимой гарантией на возврат Поставщиком авансовых платежей (по форме приложения 10 к настоящему Договору), п</w:t>
      </w:r>
      <w:r>
        <w:rPr>
          <w:rFonts w:ascii="Times New Roman" w:hAnsi="Times New Roman" w:eastAsia="Times New Roman" w:cs="Times New Roman"/>
          <w:lang w:eastAsia="ru-RU"/>
        </w:rPr>
        <w:t xml:space="preserve">редусмотренных статьей 4 настоящего Договора, на сумму не менее суммы авансовых платежей, предусмотренных Договором (если Покупателем не согласовано предоставление независимой гарантии на часть суммы авансовых платежей). </w:t>
      </w:r>
      <w:r>
        <w:rPr>
          <w:rFonts w:ascii="Times New Roman" w:hAnsi="Times New Roman" w:eastAsia="Times New Roman" w:cs="Times New Roman"/>
          <w:lang w:eastAsia="ru-RU"/>
        </w:rPr>
      </w:r>
    </w:p>
    <w:p>
      <w:pPr>
        <w:ind w:firstLine="709"/>
        <w:jc w:val="both"/>
        <w:spacing w:after="0" w:line="240" w:lineRule="auto"/>
        <w:widowControl w:val="off"/>
        <w:tabs>
          <w:tab w:val="left" w:pos="1701" w:leader="none"/>
        </w:tabs>
        <w:rPr>
          <w:rFonts w:ascii="Times New Roman" w:hAnsi="Times New Roman" w:eastAsia="Arial Unicode MS" w:cs="Times New Roman"/>
          <w:bCs/>
          <w:color w:val="000000"/>
          <w:lang w:eastAsia="ru-RU"/>
        </w:rPr>
        <w:pBdr>
          <w:top w:val="none" w:color="000000" w:sz="4" w:space="0"/>
          <w:left w:val="none" w:color="000000" w:sz="4" w:space="0"/>
          <w:bottom w:val="none" w:color="000000" w:sz="4" w:space="0"/>
          <w:right w:val="none" w:color="000000" w:sz="4" w:space="0"/>
          <w:between w:val="none" w:color="000000" w:sz="4" w:space="0"/>
        </w:pBdr>
      </w:pPr>
      <w:r>
        <w:rPr>
          <w:rFonts w:ascii="Times New Roman" w:hAnsi="Times New Roman" w:eastAsia="Arial Unicode MS" w:cs="Times New Roman"/>
          <w:bCs/>
          <w:color w:val="000000"/>
          <w:lang w:eastAsia="ru-RU"/>
        </w:rPr>
        <w:t xml:space="preserve">Покупателем может быть согласовано предоставление Поставщиком вместо одной независимой гарантии на </w:t>
      </w:r>
      <w:r>
        <w:rPr>
          <w:rFonts w:ascii="Times New Roman" w:hAnsi="Times New Roman" w:eastAsia="Arial Unicode MS" w:cs="Times New Roman"/>
          <w:bCs/>
          <w:color w:val="000000"/>
          <w:highlight w:val="yellow"/>
          <w:lang w:eastAsia="ru-RU"/>
        </w:rPr>
        <w:t xml:space="preserve">возврат авансовых платежей</w:t>
      </w:r>
      <w:r>
        <w:rPr>
          <w:rFonts w:ascii="Times New Roman" w:hAnsi="Times New Roman" w:eastAsia="Arial Unicode MS" w:cs="Times New Roman"/>
          <w:bCs/>
          <w:color w:val="000000"/>
          <w:lang w:eastAsia="ru-RU"/>
        </w:rPr>
        <w:t xml:space="preserve"> нескольких независимых гарантий, совокупная сумма которых в любой момент времени должна быть не менее суммы непогашенных авансов п</w:t>
      </w:r>
      <w:r>
        <w:rPr>
          <w:rFonts w:ascii="Times New Roman" w:hAnsi="Times New Roman" w:eastAsia="Arial Unicode MS" w:cs="Times New Roman"/>
          <w:bCs/>
          <w:color w:val="000000"/>
          <w:lang w:eastAsia="ru-RU"/>
        </w:rPr>
        <w:t xml:space="preserve">о </w:t>
      </w:r>
      <w:r>
        <w:rPr>
          <w:rFonts w:ascii="Times New Roman" w:hAnsi="Times New Roman" w:eastAsia="Arial Unicode MS" w:cs="Times New Roman"/>
          <w:bCs/>
          <w:color w:val="000000"/>
          <w:highlight w:val="yellow"/>
          <w:lang w:eastAsia="ru-RU"/>
        </w:rPr>
        <w:t xml:space="preserve">Договору.</w:t>
      </w:r>
      <w:r>
        <w:rPr>
          <w:rFonts w:ascii="Times New Roman" w:hAnsi="Times New Roman" w:eastAsia="Arial Unicode MS" w:cs="Times New Roman"/>
          <w:bCs/>
          <w:color w:val="000000"/>
          <w:lang w:eastAsia="ru-RU"/>
        </w:rPr>
        <w:t xml:space="preserve"> Срок действия всех независимых гарантий должен начинаться до планируемой даты перечисления авансового платежа. </w:t>
      </w:r>
      <w:r>
        <w:rPr>
          <w:rFonts w:ascii="Times New Roman" w:hAnsi="Times New Roman" w:eastAsia="Arial Unicode MS" w:cs="Times New Roman"/>
          <w:bCs/>
          <w:color w:val="000000"/>
          <w:lang w:eastAsia="ru-RU"/>
        </w:rPr>
      </w:r>
    </w:p>
    <w:p>
      <w:pPr>
        <w:contextualSpacing/>
        <w:ind w:firstLine="709"/>
        <w:jc w:val="both"/>
        <w:spacing w:after="0" w:line="240" w:lineRule="auto"/>
        <w:widowControl w:val="off"/>
        <w:rPr>
          <w:rFonts w:ascii="Times New Roman" w:hAnsi="Times New Roman" w:eastAsia="Times New Roman" w:cs="Times New Roman"/>
          <w:lang w:eastAsia="ru-RU"/>
        </w:rPr>
      </w:pPr>
      <w:r>
        <w:rPr>
          <w:rFonts w:ascii="Times New Roman" w:hAnsi="Times New Roman" w:eastAsia="Times New Roman" w:cs="Times New Roman"/>
          <w:lang w:eastAsia="ru-RU"/>
        </w:rPr>
        <w:t xml:space="preserve">В случае перечисления авансовых платежей, указанных в</w:t>
      </w:r>
      <w:r>
        <w:rPr>
          <w:rFonts w:ascii="Times New Roman" w:hAnsi="Times New Roman" w:eastAsia="Times New Roman" w:cs="Times New Roman"/>
          <w:iCs/>
          <w:lang w:eastAsia="ru-RU"/>
        </w:rPr>
        <w:t xml:space="preserve"> </w:t>
      </w:r>
      <w:r>
        <w:rPr>
          <w:rFonts w:ascii="Times New Roman" w:hAnsi="Times New Roman" w:eastAsia="Times New Roman" w:cs="Times New Roman"/>
          <w:bCs/>
          <w:iCs/>
          <w:lang w:eastAsia="ru-RU"/>
        </w:rPr>
        <w:t xml:space="preserve">п. 4.2</w:t>
      </w:r>
      <w:r>
        <w:rPr>
          <w:rFonts w:ascii="Times New Roman" w:hAnsi="Times New Roman" w:eastAsia="Times New Roman" w:cs="Times New Roman"/>
          <w:b/>
          <w:bCs/>
          <w:iCs/>
          <w:lang w:eastAsia="ru-RU"/>
        </w:rPr>
        <w:t xml:space="preserve"> </w:t>
      </w:r>
      <w:r>
        <w:rPr>
          <w:rFonts w:ascii="Times New Roman" w:hAnsi="Times New Roman" w:eastAsia="Times New Roman" w:cs="Times New Roman"/>
          <w:lang w:eastAsia="ru-RU"/>
        </w:rPr>
        <w:t xml:space="preserve">настоящего Договора, в разные периоды, Покупателем может быть согласова</w:t>
      </w:r>
      <w:r>
        <w:rPr>
          <w:rFonts w:ascii="Times New Roman" w:hAnsi="Times New Roman" w:eastAsia="Times New Roman" w:cs="Times New Roman"/>
          <w:lang w:eastAsia="ru-RU"/>
        </w:rPr>
        <w:t xml:space="preserve">но предоставление независимой гарантии на часть суммы авансовых платежей, при этом сумма указанной независимой гарантии в течение всего срока действия Договора должна быть не менее суммы непогашенного аванса, и перечисление новых авансовых платежей Поставщ</w:t>
      </w:r>
      <w:r>
        <w:rPr>
          <w:rFonts w:ascii="Times New Roman" w:hAnsi="Times New Roman" w:eastAsia="Times New Roman" w:cs="Times New Roman"/>
          <w:lang w:eastAsia="ru-RU"/>
        </w:rPr>
        <w:t xml:space="preserve">ику допускается, только если сумма непогашенного аванса после перечисления авансового платежа не превысит сумму действующих и принятых Покупателем независимых гарантий на возврат Поставщиком авансовых платежей по Договору.</w:t>
      </w:r>
      <w:r>
        <w:rPr>
          <w:rFonts w:ascii="Times New Roman" w:hAnsi="Times New Roman" w:eastAsia="Times New Roman" w:cs="Times New Roman"/>
          <w:lang w:eastAsia="ru-RU"/>
        </w:rPr>
      </w:r>
    </w:p>
    <w:p>
      <w:pPr>
        <w:contextualSpacing/>
        <w:ind w:firstLine="709"/>
        <w:jc w:val="both"/>
        <w:spacing w:after="0" w:line="240" w:lineRule="auto"/>
        <w:widowControl w:val="off"/>
        <w:rPr>
          <w:rFonts w:ascii="Times New Roman" w:hAnsi="Times New Roman" w:eastAsia="Times New Roman" w:cs="Times New Roman"/>
          <w:lang w:eastAsia="ru-RU"/>
        </w:rPr>
      </w:pPr>
      <w:r>
        <w:rPr>
          <w:rFonts w:ascii="Times New Roman" w:hAnsi="Times New Roman" w:eastAsia="Times New Roman" w:cs="Times New Roman"/>
          <w:lang w:eastAsia="ru-RU"/>
        </w:rPr>
        <w:t xml:space="preserve">Срок действия независимой гаранти</w:t>
      </w:r>
      <w:r>
        <w:rPr>
          <w:rFonts w:ascii="Times New Roman" w:hAnsi="Times New Roman" w:eastAsia="Times New Roman" w:cs="Times New Roman"/>
          <w:lang w:eastAsia="ru-RU"/>
        </w:rPr>
        <w:t xml:space="preserve">и должен начинаться до даты перечисления авансового платежа Поставщику, заканчиваться не ранее чем через 60 (шестьдесят) дней после установленной даты подписания последнего Документа о приемке </w:t>
      </w:r>
      <w:r>
        <w:rPr>
          <w:rFonts w:ascii="Times New Roman" w:hAnsi="Times New Roman" w:eastAsia="Times New Roman" w:cs="Times New Roman"/>
          <w:highlight w:val="yellow"/>
          <w:lang w:eastAsia="ru-RU"/>
        </w:rPr>
        <w:t xml:space="preserve">Товара/ </w:t>
      </w:r>
      <w:r>
        <w:rPr>
          <w:rFonts w:ascii="Times New Roman" w:hAnsi="Times New Roman" w:eastAsia="Times New Roman" w:cs="Times New Roman"/>
          <w:i/>
          <w:highlight w:val="yellow"/>
          <w:lang w:eastAsia="ru-RU"/>
        </w:rPr>
        <w:t xml:space="preserve">последнего акта оказания дополнительных услуг (в случае</w:t>
      </w:r>
      <w:r>
        <w:rPr>
          <w:rFonts w:ascii="Times New Roman" w:hAnsi="Times New Roman" w:eastAsia="Times New Roman" w:cs="Times New Roman"/>
          <w:i/>
          <w:highlight w:val="yellow"/>
          <w:lang w:eastAsia="ru-RU"/>
        </w:rPr>
        <w:t xml:space="preserve"> наличия соответствующих услуг в предмете Договора)</w:t>
      </w:r>
      <w:r>
        <w:rPr>
          <w:rFonts w:ascii="Times New Roman" w:hAnsi="Times New Roman" w:eastAsia="Times New Roman" w:cs="Times New Roman"/>
          <w:lang w:eastAsia="ru-RU"/>
        </w:rPr>
        <w:t xml:space="preserve"> и не должен быть ограничен сроком, указанным в п. 2.2 настоящего Договора.</w:t>
      </w:r>
      <w:r>
        <w:rPr>
          <w:rFonts w:ascii="Times New Roman" w:hAnsi="Times New Roman" w:eastAsia="Times New Roman" w:cs="Times New Roman"/>
          <w:lang w:eastAsia="ru-RU"/>
        </w:rPr>
      </w:r>
    </w:p>
    <w:p>
      <w:pPr>
        <w:contextualSpacing/>
        <w:ind w:firstLine="709"/>
        <w:jc w:val="both"/>
        <w:spacing w:after="0" w:line="240" w:lineRule="auto"/>
        <w:widowControl w:val="off"/>
        <w:rPr>
          <w:rFonts w:ascii="Times New Roman" w:hAnsi="Times New Roman" w:eastAsia="Times New Roman" w:cs="Times New Roman"/>
          <w:lang w:eastAsia="ru-RU"/>
        </w:rPr>
      </w:pPr>
      <w:r>
        <w:rPr>
          <w:rFonts w:ascii="Times New Roman" w:hAnsi="Times New Roman" w:eastAsia="Times New Roman" w:cs="Times New Roman"/>
          <w:lang w:eastAsia="ru-RU"/>
        </w:rPr>
        <w:t xml:space="preserve">Копия независимой гарантии должна быть представлена Поставщиком на согласование Покупателю в срок, не позднее, чем за 20 (двадцат</w:t>
      </w:r>
      <w:r>
        <w:rPr>
          <w:rFonts w:ascii="Times New Roman" w:hAnsi="Times New Roman" w:eastAsia="Times New Roman" w:cs="Times New Roman"/>
          <w:lang w:eastAsia="ru-RU"/>
        </w:rPr>
        <w:t xml:space="preserve">ь) рабочих дней до планируемой даты перечисления авансового платежа, оригинал согласованной независимой гарантии должен быть предоставлен Поставщиком Покупателю не позднее чем за 10 (десять) рабочих дней до планируемой даты перечисления авансового платежа.</w:t>
      </w:r>
      <w:r>
        <w:rPr>
          <w:rFonts w:ascii="Times New Roman" w:hAnsi="Times New Roman" w:eastAsia="Times New Roman" w:cs="Times New Roman"/>
          <w:lang w:eastAsia="ru-RU"/>
        </w:rPr>
      </w:r>
    </w:p>
    <w:p>
      <w:pPr>
        <w:ind w:firstLine="709"/>
        <w:jc w:val="both"/>
        <w:spacing w:after="0" w:line="240" w:lineRule="auto"/>
        <w:tabs>
          <w:tab w:val="left" w:pos="1418" w:leader="none"/>
        </w:tabs>
        <w:rPr>
          <w:rFonts w:ascii="Times New Roman" w:hAnsi="Times New Roman" w:cs="Times New Roman"/>
        </w:rPr>
      </w:pPr>
      <w:r>
        <w:rPr>
          <w:rFonts w:ascii="Times New Roman" w:hAnsi="Times New Roman" w:cs="Times New Roman"/>
        </w:rPr>
        <w:t xml:space="preserve">По соглашению Сторон сумма обеспечения по независимой гарантии на возврат авансовых платежей может быть уменьшена пропорционально объему поставленного Товара, в отношении которого оформлены Документы о приемке товара.</w:t>
      </w:r>
      <w:r>
        <w:rPr>
          <w:rFonts w:ascii="Times New Roman" w:hAnsi="Times New Roman" w:cs="Times New Roman"/>
        </w:rPr>
      </w:r>
    </w:p>
    <w:p>
      <w:pPr>
        <w:ind w:firstLine="709"/>
        <w:jc w:val="both"/>
        <w:spacing w:after="0" w:line="240" w:lineRule="auto"/>
        <w:tabs>
          <w:tab w:val="left" w:pos="1418" w:leader="none"/>
        </w:tabs>
        <w:rPr>
          <w:rFonts w:ascii="Times New Roman" w:hAnsi="Times New Roman" w:cs="Times New Roman"/>
          <w:i/>
        </w:rPr>
      </w:pPr>
      <w:r>
        <w:rPr>
          <w:rFonts w:ascii="Times New Roman" w:hAnsi="Times New Roman" w:cs="Times New Roman"/>
          <w:i/>
        </w:rPr>
      </w:r>
      <w:r>
        <w:rPr>
          <w:rFonts w:ascii="Times New Roman" w:hAnsi="Times New Roman" w:cs="Times New Roman"/>
          <w:i/>
        </w:rPr>
      </w:r>
    </w:p>
    <w:p>
      <w:pPr>
        <w:ind w:firstLine="709"/>
        <w:jc w:val="both"/>
        <w:spacing w:after="0" w:line="240" w:lineRule="auto"/>
        <w:tabs>
          <w:tab w:val="left" w:pos="1418" w:leader="none"/>
        </w:tabs>
        <w:rPr>
          <w:rFonts w:ascii="Times New Roman" w:hAnsi="Times New Roman" w:cs="Times New Roman"/>
          <w:i/>
          <w:highlight w:val="yellow"/>
        </w:rPr>
      </w:pPr>
      <w:r>
        <w:rPr>
          <w:rFonts w:ascii="Times New Roman" w:hAnsi="Times New Roman" w:cs="Times New Roman"/>
          <w:i/>
          <w:highlight w:val="yellow"/>
        </w:rPr>
        <w:t xml:space="preserve">Вариант б) - для применения в рамках договоров, заключаемых по результатам конкурентной закупки, участниками которой могут быть только субъекты МСП.</w:t>
      </w:r>
      <w:r>
        <w:rPr>
          <w:rFonts w:ascii="Times New Roman" w:hAnsi="Times New Roman" w:cs="Times New Roman"/>
          <w:i/>
          <w:highlight w:val="yellow"/>
        </w:rPr>
      </w:r>
    </w:p>
    <w:p>
      <w:pPr>
        <w:contextualSpacing/>
        <w:ind w:firstLine="709"/>
        <w:jc w:val="both"/>
        <w:spacing w:after="0" w:line="240" w:lineRule="auto"/>
        <w:widowControl w:val="off"/>
        <w:rPr>
          <w:rFonts w:ascii="Times New Roman" w:hAnsi="Times New Roman" w:eastAsia="Times New Roman" w:cs="Times New Roman"/>
          <w:i/>
          <w:iCs/>
          <w:lang w:eastAsia="ru-RU"/>
        </w:rPr>
      </w:pPr>
      <w:r>
        <w:rPr>
          <w:rFonts w:ascii="Times New Roman" w:hAnsi="Times New Roman" w:eastAsia="Times New Roman" w:cs="Times New Roman"/>
          <w:highlight w:val="yellow"/>
          <w:lang w:eastAsia="ru-RU"/>
        </w:rPr>
        <w:t xml:space="preserve">2.1. </w:t>
      </w:r>
      <w:r>
        <w:rPr>
          <w:rFonts w:ascii="Times New Roman" w:hAnsi="Times New Roman" w:eastAsia="Times New Roman" w:cs="Times New Roman"/>
          <w:b/>
          <w:i/>
          <w:iCs/>
          <w:highlight w:val="yellow"/>
          <w:lang w:eastAsia="ru-RU"/>
        </w:rPr>
        <w:t xml:space="preserve">(пункт применяется </w:t>
      </w:r>
      <w:r>
        <w:rPr>
          <w:rFonts w:ascii="Times New Roman" w:hAnsi="Times New Roman" w:eastAsia="Times New Roman" w:cs="Times New Roman"/>
          <w:b/>
          <w:bCs/>
          <w:i/>
          <w:iCs/>
          <w:highlight w:val="yellow"/>
          <w:lang w:eastAsia="ru-RU"/>
        </w:rPr>
        <w:t xml:space="preserve">только при II варианте п. </w:t>
      </w:r>
      <w:r>
        <w:rPr>
          <w:rFonts w:ascii="Times New Roman" w:hAnsi="Times New Roman" w:eastAsia="Times New Roman" w:cs="Times New Roman"/>
          <w:b/>
          <w:i/>
          <w:highlight w:val="yellow"/>
          <w:lang w:eastAsia="ru-RU"/>
        </w:rPr>
        <w:t xml:space="preserve">4.2 настоящего Договора, предполагающем необходимость предоставления обеспечения исполнения обязательств только в части возврата авансовых платежей)</w:t>
      </w:r>
      <w:r>
        <w:rPr>
          <w:rFonts w:ascii="Times New Roman" w:hAnsi="Times New Roman" w:eastAsia="Times New Roman" w:cs="Times New Roman"/>
          <w:i/>
          <w:iCs/>
          <w:lang w:eastAsia="ru-RU"/>
        </w:rPr>
      </w:r>
    </w:p>
    <w:p>
      <w:pPr>
        <w:contextualSpacing/>
        <w:ind w:firstLine="709"/>
        <w:jc w:val="both"/>
        <w:spacing w:after="0" w:line="240" w:lineRule="auto"/>
        <w:widowControl w:val="off"/>
        <w:rPr>
          <w:rFonts w:ascii="Times New Roman" w:hAnsi="Times New Roman" w:eastAsia="Times New Roman" w:cs="Times New Roman"/>
          <w:lang w:eastAsia="ru-RU"/>
        </w:rPr>
      </w:pPr>
      <w:r>
        <w:rPr>
          <w:rFonts w:ascii="Times New Roman" w:hAnsi="Times New Roman" w:eastAsia="Times New Roman" w:cs="Times New Roman"/>
          <w:lang w:eastAsia="ru-RU"/>
        </w:rPr>
        <w:t xml:space="preserve">Независимой гарантией на исполнение Поставщиком обязательств по Договору, учитывающей в том числе </w:t>
      </w:r>
      <w:r>
        <w:rPr>
          <w:rFonts w:ascii="Times New Roman" w:hAnsi="Times New Roman" w:eastAsia="Times New Roman" w:cs="Times New Roman"/>
          <w:highlight w:val="yellow"/>
          <w:lang w:eastAsia="ru-RU"/>
        </w:rPr>
        <w:t xml:space="preserve">обязатель</w:t>
      </w:r>
      <w:r>
        <w:rPr>
          <w:rFonts w:ascii="Times New Roman" w:hAnsi="Times New Roman" w:eastAsia="Times New Roman" w:cs="Times New Roman"/>
          <w:highlight w:val="yellow"/>
          <w:lang w:eastAsia="ru-RU"/>
        </w:rPr>
        <w:t xml:space="preserve">ства по возврату</w:t>
      </w:r>
      <w:r>
        <w:rPr>
          <w:rFonts w:ascii="Times New Roman" w:hAnsi="Times New Roman" w:eastAsia="Times New Roman" w:cs="Times New Roman"/>
          <w:lang w:eastAsia="ru-RU"/>
        </w:rPr>
        <w:t xml:space="preserve"> авансовых платежей (по форме Приложения 10.6 к настоящему Договору), предусмотренных статьей 4 настоящего Договора, на сумму в размере суммы авансовых платежей, предусмотренных Договором.</w:t>
      </w:r>
      <w:r>
        <w:rPr>
          <w:rFonts w:ascii="Times New Roman" w:hAnsi="Times New Roman" w:eastAsia="Times New Roman" w:cs="Times New Roman"/>
          <w:lang w:eastAsia="ru-RU"/>
        </w:rPr>
      </w:r>
    </w:p>
    <w:p>
      <w:pPr>
        <w:contextualSpacing/>
        <w:ind w:firstLine="709"/>
        <w:jc w:val="both"/>
        <w:spacing w:after="0" w:line="240" w:lineRule="auto"/>
        <w:widowControl w:val="off"/>
        <w:rPr>
          <w:rFonts w:ascii="Times New Roman" w:hAnsi="Times New Roman" w:eastAsia="Times New Roman" w:cs="Times New Roman"/>
          <w:lang w:eastAsia="ru-RU"/>
        </w:rPr>
      </w:pPr>
      <w:r>
        <w:rPr>
          <w:rFonts w:ascii="Times New Roman" w:hAnsi="Times New Roman" w:eastAsia="Times New Roman" w:cs="Times New Roman"/>
          <w:highlight w:val="yellow"/>
          <w:lang w:eastAsia="ru-RU"/>
        </w:rPr>
        <w:t xml:space="preserve">Не допускается предоставление нескольких независимы</w:t>
      </w:r>
      <w:r>
        <w:rPr>
          <w:rFonts w:ascii="Times New Roman" w:hAnsi="Times New Roman" w:eastAsia="Times New Roman" w:cs="Times New Roman"/>
          <w:highlight w:val="yellow"/>
          <w:lang w:eastAsia="ru-RU"/>
        </w:rPr>
        <w:t xml:space="preserve">х гарантий на исполнение обязательств по Договору, совокупная сумма которых соответствует сумме независимой гарантии, предусмотренной Договором.</w:t>
      </w:r>
      <w:r>
        <w:rPr>
          <w:rFonts w:ascii="Times New Roman" w:hAnsi="Times New Roman" w:eastAsia="Times New Roman" w:cs="Times New Roman"/>
          <w:lang w:eastAsia="ru-RU"/>
        </w:rPr>
      </w:r>
    </w:p>
    <w:p>
      <w:pPr>
        <w:contextualSpacing/>
        <w:ind w:firstLine="709"/>
        <w:jc w:val="both"/>
        <w:spacing w:after="0" w:line="240" w:lineRule="auto"/>
        <w:widowControl w:val="off"/>
        <w:rPr>
          <w:rFonts w:ascii="Times New Roman" w:hAnsi="Times New Roman" w:eastAsia="Times New Roman" w:cs="Times New Roman"/>
          <w:lang w:eastAsia="ru-RU"/>
        </w:rPr>
      </w:pPr>
      <w:r>
        <w:rPr>
          <w:rFonts w:ascii="Times New Roman" w:hAnsi="Times New Roman" w:eastAsia="Times New Roman" w:cs="Times New Roman"/>
          <w:lang w:eastAsia="ru-RU"/>
        </w:rPr>
        <w:t xml:space="preserve">Покупателем может быть согласовано предоставление независимой гарантии на часть суммы авансовых платежей, при э</w:t>
      </w:r>
      <w:r>
        <w:rPr>
          <w:rFonts w:ascii="Times New Roman" w:hAnsi="Times New Roman" w:eastAsia="Times New Roman" w:cs="Times New Roman"/>
          <w:lang w:eastAsia="ru-RU"/>
        </w:rPr>
        <w:t xml:space="preserve">том сумма указанной независимой гарантии в течение всего срока действия Договора должна быть не менее суммы непогашенного аванса, и перечисление новых авансовых платежей Поставщику допускается, только если сумма непогашенного аванса после перечисления аван</w:t>
      </w:r>
      <w:r>
        <w:rPr>
          <w:rFonts w:ascii="Times New Roman" w:hAnsi="Times New Roman" w:eastAsia="Times New Roman" w:cs="Times New Roman"/>
          <w:lang w:eastAsia="ru-RU"/>
        </w:rPr>
        <w:t xml:space="preserve">сового платежа не превысит сумму </w:t>
      </w:r>
      <w:r>
        <w:rPr>
          <w:rFonts w:ascii="Times New Roman" w:hAnsi="Times New Roman" w:eastAsia="Times New Roman" w:cs="Times New Roman"/>
          <w:highlight w:val="yellow"/>
          <w:lang w:eastAsia="ru-RU"/>
        </w:rPr>
        <w:t xml:space="preserve">действующей и принятой Покупателем независимой гарантии на исполнение обязательств по Договору, учитывающей обязательства по возврату авансовых платежей.</w:t>
      </w:r>
      <w:r>
        <w:rPr>
          <w:rFonts w:ascii="Times New Roman" w:hAnsi="Times New Roman" w:eastAsia="Times New Roman" w:cs="Times New Roman"/>
          <w:lang w:eastAsia="ru-RU"/>
        </w:rPr>
      </w:r>
    </w:p>
    <w:p>
      <w:pPr>
        <w:contextualSpacing/>
        <w:ind w:firstLine="709"/>
        <w:jc w:val="both"/>
        <w:spacing w:after="0" w:line="240" w:lineRule="auto"/>
        <w:widowControl w:val="off"/>
        <w:rPr>
          <w:rFonts w:ascii="Times New Roman" w:hAnsi="Times New Roman" w:eastAsia="Times New Roman" w:cs="Times New Roman"/>
          <w:lang w:eastAsia="ru-RU"/>
        </w:rPr>
      </w:pPr>
      <w:r>
        <w:rPr>
          <w:rFonts w:ascii="Times New Roman" w:hAnsi="Times New Roman" w:eastAsia="Times New Roman" w:cs="Times New Roman"/>
          <w:highlight w:val="yellow"/>
          <w:lang w:eastAsia="ru-RU"/>
        </w:rPr>
        <w:t xml:space="preserve">Срок действия независимой гарантии должен начинаться до даты перечисл</w:t>
      </w:r>
      <w:r>
        <w:rPr>
          <w:rFonts w:ascii="Times New Roman" w:hAnsi="Times New Roman" w:eastAsia="Times New Roman" w:cs="Times New Roman"/>
          <w:highlight w:val="yellow"/>
          <w:lang w:eastAsia="ru-RU"/>
        </w:rPr>
        <w:t xml:space="preserve">ения авансового платежа Поставщику, заканчиваться не ранее чем через 60 (шестьдесят) дней после установленной даты подписания последнего Документа о приемке Товара/ </w:t>
      </w:r>
      <w:r>
        <w:rPr>
          <w:rFonts w:ascii="Times New Roman" w:hAnsi="Times New Roman" w:eastAsia="Times New Roman" w:cs="Times New Roman"/>
          <w:i/>
          <w:highlight w:val="yellow"/>
          <w:lang w:eastAsia="ru-RU"/>
        </w:rPr>
        <w:t xml:space="preserve">последнего акта оказания дополнительных услуг (в случае наличия соответствующих услуг в пре</w:t>
      </w:r>
      <w:r>
        <w:rPr>
          <w:rFonts w:ascii="Times New Roman" w:hAnsi="Times New Roman" w:eastAsia="Times New Roman" w:cs="Times New Roman"/>
          <w:i/>
          <w:highlight w:val="yellow"/>
          <w:lang w:eastAsia="ru-RU"/>
        </w:rPr>
        <w:t xml:space="preserve">дмете Договора)</w:t>
      </w:r>
      <w:r>
        <w:rPr>
          <w:rFonts w:ascii="Times New Roman" w:hAnsi="Times New Roman" w:eastAsia="Times New Roman" w:cs="Times New Roman"/>
          <w:highlight w:val="yellow"/>
          <w:lang w:eastAsia="ru-RU"/>
        </w:rPr>
        <w:t xml:space="preserve"> и не должен быть ограничен сроком, указанным в п. 2.2 настоящего Договора.</w:t>
      </w:r>
      <w:r>
        <w:rPr>
          <w:rFonts w:ascii="Times New Roman" w:hAnsi="Times New Roman" w:eastAsia="Times New Roman" w:cs="Times New Roman"/>
          <w:lang w:eastAsia="ru-RU"/>
        </w:rPr>
        <w:t xml:space="preserve"> </w:t>
      </w:r>
      <w:r>
        <w:rPr>
          <w:rFonts w:ascii="Times New Roman" w:hAnsi="Times New Roman" w:eastAsia="Times New Roman" w:cs="Times New Roman"/>
          <w:lang w:eastAsia="ru-RU"/>
        </w:rPr>
      </w:r>
    </w:p>
    <w:p>
      <w:pPr>
        <w:contextualSpacing/>
        <w:ind w:firstLine="709"/>
        <w:jc w:val="both"/>
        <w:spacing w:after="0" w:line="240" w:lineRule="auto"/>
        <w:widowControl w:val="off"/>
        <w:rPr>
          <w:rFonts w:ascii="Times New Roman" w:hAnsi="Times New Roman" w:eastAsia="Times New Roman" w:cs="Times New Roman"/>
          <w:lang w:eastAsia="ru-RU"/>
        </w:rPr>
      </w:pPr>
      <w:r>
        <w:rPr>
          <w:rFonts w:ascii="Times New Roman" w:hAnsi="Times New Roman" w:eastAsia="Times New Roman" w:cs="Times New Roman"/>
          <w:highlight w:val="yellow"/>
          <w:lang w:eastAsia="ru-RU"/>
        </w:rPr>
        <w:t xml:space="preserve">Копия независимой гарантии должна быть представлена Поставщиком на согласование Покупателю в срок, не позднее, чем за 20 (двадцать) рабочих дней до планируемой даты</w:t>
      </w:r>
      <w:r>
        <w:rPr>
          <w:rFonts w:ascii="Times New Roman" w:hAnsi="Times New Roman" w:eastAsia="Times New Roman" w:cs="Times New Roman"/>
          <w:highlight w:val="yellow"/>
          <w:lang w:eastAsia="ru-RU"/>
        </w:rPr>
        <w:t xml:space="preserve"> перечисления авансового платежа, оригинал согласованной независимой гарантии должен быть предоставлен Поставщиком Покупателю не позднее чем за 10 (десять) рабочих дней до планируемой даты перечисления авансового платежа</w:t>
      </w:r>
      <w:r>
        <w:rPr>
          <w:rFonts w:ascii="Times New Roman" w:hAnsi="Times New Roman" w:eastAsia="Times New Roman" w:cs="Times New Roman"/>
          <w:i/>
          <w:highlight w:val="yellow"/>
          <w:lang w:eastAsia="ru-RU"/>
        </w:rPr>
        <w:t xml:space="preserve">.</w:t>
      </w:r>
      <w:r>
        <w:rPr>
          <w:rFonts w:ascii="Times New Roman" w:hAnsi="Times New Roman" w:eastAsia="Times New Roman" w:cs="Times New Roman"/>
          <w:lang w:eastAsia="ru-RU"/>
        </w:rPr>
      </w:r>
    </w:p>
    <w:p>
      <w:pPr>
        <w:contextualSpacing/>
        <w:ind w:firstLine="709"/>
        <w:jc w:val="both"/>
        <w:spacing w:after="0" w:line="240" w:lineRule="auto"/>
        <w:widowControl w:val="off"/>
        <w:rPr>
          <w:rFonts w:ascii="Times New Roman" w:hAnsi="Times New Roman" w:eastAsia="Times New Roman" w:cs="Times New Roman"/>
          <w:lang w:eastAsia="ru-RU"/>
        </w:rPr>
      </w:pPr>
      <w:r>
        <w:rPr>
          <w:rFonts w:ascii="Times New Roman" w:hAnsi="Times New Roman" w:eastAsia="Times New Roman" w:cs="Times New Roman"/>
          <w:highlight w:val="yellow"/>
          <w:lang w:eastAsia="ru-RU"/>
        </w:rPr>
        <w:t xml:space="preserve">По соглашению Сторон сумма обеспеч</w:t>
      </w:r>
      <w:r>
        <w:rPr>
          <w:rFonts w:ascii="Times New Roman" w:hAnsi="Times New Roman" w:eastAsia="Times New Roman" w:cs="Times New Roman"/>
          <w:highlight w:val="yellow"/>
          <w:lang w:eastAsia="ru-RU"/>
        </w:rPr>
        <w:t xml:space="preserve">ения по независимой гарантии на возврат авансовых платежей может быть уменьшена пропорционально объему поставленного Товара, в отношении которого оформлены Документы о приемке товара, </w:t>
      </w:r>
      <w:r>
        <w:rPr>
          <w:rFonts w:ascii="Times New Roman" w:hAnsi="Times New Roman" w:eastAsia="Times New Roman" w:cs="Times New Roman"/>
          <w:bCs/>
          <w:highlight w:val="yellow"/>
          <w:lang w:eastAsia="ru-RU"/>
        </w:rPr>
        <w:t xml:space="preserve">на основании подписанного Сторонами двухстороннего акта сверки авансовой</w:t>
      </w:r>
      <w:r>
        <w:rPr>
          <w:rFonts w:ascii="Times New Roman" w:hAnsi="Times New Roman" w:eastAsia="Times New Roman" w:cs="Times New Roman"/>
          <w:bCs/>
          <w:highlight w:val="yellow"/>
          <w:lang w:eastAsia="ru-RU"/>
        </w:rPr>
        <w:t xml:space="preserve"> задолженности по Договору</w:t>
      </w:r>
      <w:r>
        <w:rPr>
          <w:rFonts w:ascii="Times New Roman" w:hAnsi="Times New Roman" w:eastAsia="Times New Roman" w:cs="Times New Roman"/>
          <w:highlight w:val="yellow"/>
          <w:lang w:eastAsia="ru-RU"/>
        </w:rPr>
        <w:t xml:space="preserve">. В этом случае сумма независимой гарантии должна быть не менее суммы непогашенного (неотработанного) аванса.</w:t>
      </w:r>
      <w:r>
        <w:rPr>
          <w:rFonts w:ascii="Times New Roman" w:hAnsi="Times New Roman" w:eastAsia="Times New Roman" w:cs="Times New Roman"/>
          <w:lang w:eastAsia="ru-RU"/>
        </w:rPr>
      </w:r>
    </w:p>
    <w:p>
      <w:pPr>
        <w:ind w:firstLine="709"/>
        <w:jc w:val="both"/>
        <w:spacing w:after="0" w:line="240" w:lineRule="auto"/>
        <w:tabs>
          <w:tab w:val="left" w:pos="1418" w:leader="none"/>
        </w:tabs>
        <w:rPr>
          <w:rFonts w:ascii="Times New Roman" w:hAnsi="Times New Roman" w:cs="Times New Roman"/>
          <w:i/>
          <w:highlight w:val="yellow"/>
        </w:rPr>
      </w:pPr>
      <w:r>
        <w:rPr>
          <w:rFonts w:ascii="Times New Roman" w:hAnsi="Times New Roman" w:cs="Times New Roman"/>
          <w:i/>
          <w:highlight w:val="yellow"/>
        </w:rPr>
        <w:t xml:space="preserve">Вариант в) - для применения в рамках договоров, заключаемых по результатам конкурентной закупки, участниками которой мог</w:t>
      </w:r>
      <w:r>
        <w:rPr>
          <w:rFonts w:ascii="Times New Roman" w:hAnsi="Times New Roman" w:cs="Times New Roman"/>
          <w:i/>
          <w:highlight w:val="yellow"/>
        </w:rPr>
        <w:t xml:space="preserve">ут быть только субъекты МСП.</w:t>
      </w:r>
      <w:r>
        <w:rPr>
          <w:rFonts w:ascii="Times New Roman" w:hAnsi="Times New Roman" w:cs="Times New Roman"/>
          <w:i/>
          <w:highlight w:val="yellow"/>
        </w:rPr>
      </w:r>
    </w:p>
    <w:p>
      <w:pPr>
        <w:contextualSpacing/>
        <w:ind w:firstLine="709"/>
        <w:jc w:val="both"/>
        <w:spacing w:after="0" w:line="240" w:lineRule="auto"/>
        <w:widowControl w:val="off"/>
        <w:rPr>
          <w:rFonts w:ascii="Times New Roman" w:hAnsi="Times New Roman" w:eastAsia="Times New Roman" w:cs="Times New Roman"/>
          <w:i/>
          <w:iCs/>
          <w:highlight w:val="yellow"/>
          <w:lang w:eastAsia="ru-RU"/>
        </w:rPr>
      </w:pPr>
      <w:r>
        <w:rPr>
          <w:rFonts w:ascii="Times New Roman" w:hAnsi="Times New Roman" w:eastAsia="Times New Roman" w:cs="Times New Roman"/>
          <w:highlight w:val="yellow"/>
          <w:lang w:eastAsia="ru-RU"/>
        </w:rPr>
        <w:t xml:space="preserve">2.1. </w:t>
      </w:r>
      <w:r>
        <w:rPr>
          <w:rFonts w:ascii="Times New Roman" w:hAnsi="Times New Roman" w:eastAsia="Times New Roman" w:cs="Times New Roman"/>
          <w:b/>
          <w:i/>
          <w:highlight w:val="yellow"/>
          <w:lang w:eastAsia="ru-RU"/>
        </w:rPr>
        <w:t xml:space="preserve">(пункт применяется только при II варианте п. </w:t>
      </w:r>
      <w:r>
        <w:rPr>
          <w:rFonts w:ascii="Times New Roman" w:hAnsi="Times New Roman" w:eastAsia="Times New Roman" w:cs="Times New Roman"/>
          <w:b/>
          <w:bCs/>
          <w:i/>
          <w:iCs/>
          <w:highlight w:val="yellow"/>
          <w:lang w:eastAsia="ru-RU"/>
        </w:rPr>
        <w:t xml:space="preserve">4.2 настоящего Договора, предполагающем </w:t>
      </w:r>
      <w:r>
        <w:rPr>
          <w:rFonts w:ascii="Times New Roman" w:hAnsi="Times New Roman" w:eastAsia="Times New Roman" w:cs="Times New Roman"/>
          <w:b/>
          <w:i/>
          <w:highlight w:val="yellow"/>
          <w:lang w:eastAsia="ru-RU"/>
        </w:rPr>
        <w:t xml:space="preserve">необходимость предоставления обеспечения исполнения обязательств по возврату </w:t>
      </w:r>
      <w:r>
        <w:rPr>
          <w:rFonts w:ascii="Times New Roman" w:hAnsi="Times New Roman" w:eastAsia="Times New Roman" w:cs="Times New Roman"/>
          <w:b/>
          <w:bCs/>
          <w:i/>
          <w:iCs/>
          <w:highlight w:val="yellow"/>
          <w:lang w:eastAsia="ru-RU"/>
        </w:rPr>
        <w:t xml:space="preserve">авансовых платежей </w:t>
      </w:r>
      <w:r>
        <w:rPr>
          <w:rFonts w:ascii="Times New Roman" w:hAnsi="Times New Roman" w:eastAsia="Times New Roman" w:cs="Times New Roman"/>
          <w:b/>
          <w:i/>
          <w:highlight w:val="yellow"/>
          <w:lang w:eastAsia="ru-RU"/>
        </w:rPr>
        <w:t xml:space="preserve">и обеспечение исполнения обязательств по договору</w:t>
      </w:r>
      <w:r>
        <w:rPr>
          <w:rFonts w:ascii="Times New Roman" w:hAnsi="Times New Roman" w:eastAsia="Times New Roman" w:cs="Times New Roman"/>
          <w:b/>
          <w:bCs/>
          <w:i/>
          <w:iCs/>
          <w:highlight w:val="yellow"/>
          <w:lang w:eastAsia="ru-RU"/>
        </w:rPr>
        <w:t xml:space="preserve">)</w:t>
      </w:r>
      <w:r>
        <w:rPr>
          <w:rFonts w:ascii="Times New Roman" w:hAnsi="Times New Roman" w:eastAsia="Times New Roman" w:cs="Times New Roman"/>
          <w:i/>
          <w:iCs/>
          <w:highlight w:val="yellow"/>
          <w:lang w:eastAsia="ru-RU"/>
        </w:rPr>
        <w:t xml:space="preserve"> </w:t>
      </w:r>
      <w:r>
        <w:rPr>
          <w:rFonts w:ascii="Times New Roman" w:hAnsi="Times New Roman" w:eastAsia="Times New Roman" w:cs="Times New Roman"/>
          <w:i/>
          <w:iCs/>
          <w:highlight w:val="yellow"/>
          <w:lang w:eastAsia="ru-RU"/>
        </w:rPr>
      </w:r>
    </w:p>
    <w:p>
      <w:pPr>
        <w:contextualSpacing/>
        <w:ind w:firstLine="709"/>
        <w:jc w:val="both"/>
        <w:spacing w:after="0" w:line="240" w:lineRule="auto"/>
        <w:widowControl w:val="off"/>
        <w:rPr>
          <w:rFonts w:ascii="Times New Roman" w:hAnsi="Times New Roman" w:eastAsia="Times New Roman" w:cs="Times New Roman"/>
          <w:highlight w:val="yellow"/>
          <w:lang w:eastAsia="ru-RU"/>
        </w:rPr>
      </w:pPr>
      <w:r>
        <w:rPr>
          <w:rFonts w:ascii="Times New Roman" w:hAnsi="Times New Roman" w:eastAsia="Times New Roman" w:cs="Times New Roman"/>
          <w:highlight w:val="yellow"/>
          <w:lang w:eastAsia="ru-RU"/>
        </w:rPr>
        <w:t xml:space="preserve">Независимой гарантией на исполнение Поставщиком обязательств по Договору, учитывающей в том числе обязательства по возврату авансовых платежей (по форме приложения 10.6 к настоящему Договору), предусмотре</w:t>
      </w:r>
      <w:r>
        <w:rPr>
          <w:rFonts w:ascii="Times New Roman" w:hAnsi="Times New Roman" w:eastAsia="Times New Roman" w:cs="Times New Roman"/>
          <w:highlight w:val="yellow"/>
          <w:lang w:eastAsia="ru-RU"/>
        </w:rPr>
        <w:t xml:space="preserve">нных статьей 4 настоящего Договора, на сумму в размере суммы авансовых платежей, предусмотренных Договором,</w:t>
      </w:r>
      <w:r>
        <w:rPr>
          <w:rFonts w:ascii="Times New Roman" w:hAnsi="Times New Roman" w:eastAsia="Calibri" w:cs="Times New Roman"/>
          <w:highlight w:val="yellow"/>
          <w:lang w:eastAsia="ru-RU"/>
        </w:rPr>
        <w:t xml:space="preserve"> но не менее 5% начальной (максимальной) цены Договора (цены лота) и не менее 5% от цены Договора</w:t>
      </w:r>
      <w:r>
        <w:rPr>
          <w:rFonts w:ascii="Times New Roman" w:hAnsi="Times New Roman" w:eastAsia="Times New Roman" w:cs="Times New Roman"/>
          <w:highlight w:val="yellow"/>
          <w:lang w:eastAsia="ru-RU"/>
        </w:rPr>
        <w:t xml:space="preserve">.</w:t>
      </w:r>
      <w:r>
        <w:rPr>
          <w:rFonts w:ascii="Times New Roman" w:hAnsi="Times New Roman" w:eastAsia="Times New Roman" w:cs="Times New Roman"/>
          <w:highlight w:val="yellow"/>
          <w:lang w:eastAsia="ru-RU"/>
        </w:rPr>
      </w:r>
    </w:p>
    <w:p>
      <w:pPr>
        <w:contextualSpacing/>
        <w:ind w:firstLine="709"/>
        <w:jc w:val="both"/>
        <w:spacing w:after="0" w:line="240" w:lineRule="auto"/>
        <w:widowControl w:val="off"/>
        <w:rPr>
          <w:rFonts w:ascii="Times New Roman" w:hAnsi="Times New Roman" w:eastAsia="Times New Roman" w:cs="Times New Roman"/>
          <w:highlight w:val="yellow"/>
          <w:lang w:eastAsia="ru-RU"/>
        </w:rPr>
      </w:pPr>
      <w:r>
        <w:rPr>
          <w:rFonts w:ascii="Times New Roman" w:hAnsi="Times New Roman" w:eastAsia="Times New Roman" w:cs="Times New Roman"/>
          <w:highlight w:val="yellow"/>
          <w:lang w:eastAsia="ru-RU"/>
        </w:rPr>
        <w:t xml:space="preserve">Не допускается предоставление нескольких независим</w:t>
      </w:r>
      <w:r>
        <w:rPr>
          <w:rFonts w:ascii="Times New Roman" w:hAnsi="Times New Roman" w:eastAsia="Times New Roman" w:cs="Times New Roman"/>
          <w:highlight w:val="yellow"/>
          <w:lang w:eastAsia="ru-RU"/>
        </w:rPr>
        <w:t xml:space="preserve">ых гарантий на исполнение обязательств, совокупная сумма которых соответствует сумме независимой гарантии, предусмотренной Договором.</w:t>
      </w:r>
      <w:r>
        <w:rPr>
          <w:rFonts w:ascii="Times New Roman" w:hAnsi="Times New Roman" w:eastAsia="Times New Roman" w:cs="Times New Roman"/>
          <w:highlight w:val="yellow"/>
          <w:lang w:eastAsia="ru-RU"/>
        </w:rPr>
      </w:r>
    </w:p>
    <w:p>
      <w:pPr>
        <w:contextualSpacing/>
        <w:ind w:firstLine="709"/>
        <w:jc w:val="both"/>
        <w:spacing w:after="0" w:line="240" w:lineRule="auto"/>
        <w:widowControl w:val="off"/>
        <w:rPr>
          <w:rFonts w:ascii="Times New Roman" w:hAnsi="Times New Roman" w:eastAsia="Times New Roman" w:cs="Times New Roman"/>
          <w:highlight w:val="yellow"/>
          <w:lang w:eastAsia="ru-RU"/>
        </w:rPr>
      </w:pPr>
      <w:r>
        <w:rPr>
          <w:rFonts w:ascii="Times New Roman" w:hAnsi="Times New Roman" w:eastAsia="Times New Roman" w:cs="Times New Roman"/>
          <w:highlight w:val="yellow"/>
          <w:lang w:eastAsia="ru-RU"/>
        </w:rPr>
        <w:t xml:space="preserve">Покупателем может быть согласовано предоставление независимой гарантии на часть суммы авансовых платежей, при этом сумма у</w:t>
      </w:r>
      <w:r>
        <w:rPr>
          <w:rFonts w:ascii="Times New Roman" w:hAnsi="Times New Roman" w:eastAsia="Times New Roman" w:cs="Times New Roman"/>
          <w:highlight w:val="yellow"/>
          <w:lang w:eastAsia="ru-RU"/>
        </w:rPr>
        <w:t xml:space="preserve">казанной независимой гарантии в течение всего срока действия Договора должна быть не менее суммы непогашенного аванса и, в любом случае, не менее 5% начальной (максимальной) цены Договора (цены лота) и не менее 5% от цены Договора. Перечисление новых аванс</w:t>
      </w:r>
      <w:r>
        <w:rPr>
          <w:rFonts w:ascii="Times New Roman" w:hAnsi="Times New Roman" w:eastAsia="Times New Roman" w:cs="Times New Roman"/>
          <w:highlight w:val="yellow"/>
          <w:lang w:eastAsia="ru-RU"/>
        </w:rPr>
        <w:t xml:space="preserve">овых платежей Поставщику допускается, только если сумма непогашенного аванса после перечисления авансового платежа не превысит сумму действующей и принятой Покупателем независимой гарантии на исполнение обязательств по Договору, учитывающей в том числе обя</w:t>
      </w:r>
      <w:r>
        <w:rPr>
          <w:rFonts w:ascii="Times New Roman" w:hAnsi="Times New Roman" w:eastAsia="Times New Roman" w:cs="Times New Roman"/>
          <w:highlight w:val="yellow"/>
          <w:lang w:eastAsia="ru-RU"/>
        </w:rPr>
        <w:t xml:space="preserve">зательства по возврату авансовых платежей.</w:t>
      </w:r>
      <w:r>
        <w:rPr>
          <w:rFonts w:ascii="Times New Roman" w:hAnsi="Times New Roman" w:eastAsia="Times New Roman" w:cs="Times New Roman"/>
          <w:highlight w:val="yellow"/>
          <w:lang w:eastAsia="ru-RU"/>
        </w:rPr>
      </w:r>
    </w:p>
    <w:p>
      <w:pPr>
        <w:contextualSpacing/>
        <w:ind w:firstLine="709"/>
        <w:jc w:val="both"/>
        <w:spacing w:after="0" w:line="240" w:lineRule="auto"/>
        <w:widowControl w:val="off"/>
        <w:rPr>
          <w:rFonts w:ascii="Times New Roman" w:hAnsi="Times New Roman" w:eastAsia="Times New Roman" w:cs="Times New Roman"/>
          <w:highlight w:val="yellow"/>
          <w:lang w:eastAsia="ru-RU"/>
        </w:rPr>
      </w:pPr>
      <w:r>
        <w:rPr>
          <w:rFonts w:ascii="Times New Roman" w:hAnsi="Times New Roman" w:eastAsia="Times New Roman" w:cs="Times New Roman"/>
          <w:highlight w:val="yellow"/>
          <w:lang w:eastAsia="ru-RU"/>
        </w:rPr>
        <w:t xml:space="preserve">Срок действия независимой гарантии должен начинаться не позднее даты заключения Договора, заканчиваться не ранее чем через 60 (шестьдесят) дней после установленной даты подписания последнего Документа о приемке То</w:t>
      </w:r>
      <w:r>
        <w:rPr>
          <w:rFonts w:ascii="Times New Roman" w:hAnsi="Times New Roman" w:eastAsia="Times New Roman" w:cs="Times New Roman"/>
          <w:highlight w:val="yellow"/>
          <w:lang w:eastAsia="ru-RU"/>
        </w:rPr>
        <w:t xml:space="preserve">вара/</w:t>
      </w:r>
      <w:r>
        <w:rPr>
          <w:rFonts w:ascii="Times New Roman" w:hAnsi="Times New Roman" w:eastAsia="Times New Roman" w:cs="Times New Roman"/>
          <w:i/>
          <w:highlight w:val="yellow"/>
          <w:lang w:eastAsia="ru-RU"/>
        </w:rPr>
        <w:t xml:space="preserve">последнего акта оказания дополнительных услуг (в случае наличия соответствующих услуг в предмете Договора)</w:t>
      </w:r>
      <w:r>
        <w:rPr>
          <w:rFonts w:ascii="Times New Roman" w:hAnsi="Times New Roman" w:eastAsia="Times New Roman" w:cs="Times New Roman"/>
          <w:highlight w:val="yellow"/>
          <w:lang w:eastAsia="ru-RU"/>
        </w:rPr>
        <w:t xml:space="preserve"> и не должен быть ограничен сроком, указанным в п. 2.2 настоящего Договора. </w:t>
      </w:r>
      <w:r>
        <w:rPr>
          <w:rFonts w:ascii="Times New Roman" w:hAnsi="Times New Roman" w:eastAsia="Times New Roman" w:cs="Times New Roman"/>
          <w:highlight w:val="yellow"/>
          <w:lang w:eastAsia="ru-RU"/>
        </w:rPr>
      </w:r>
    </w:p>
    <w:p>
      <w:pPr>
        <w:contextualSpacing/>
        <w:ind w:firstLine="709"/>
        <w:jc w:val="both"/>
        <w:spacing w:after="0" w:line="240" w:lineRule="auto"/>
        <w:widowControl w:val="off"/>
        <w:rPr>
          <w:rFonts w:ascii="Times New Roman" w:hAnsi="Times New Roman" w:eastAsia="Times New Roman" w:cs="Times New Roman"/>
          <w:highlight w:val="yellow"/>
          <w:lang w:eastAsia="ru-RU"/>
        </w:rPr>
      </w:pPr>
      <w:r>
        <w:rPr>
          <w:rFonts w:ascii="Times New Roman" w:hAnsi="Times New Roman" w:eastAsia="Times New Roman" w:cs="Times New Roman"/>
          <w:highlight w:val="yellow"/>
          <w:lang w:eastAsia="ru-RU"/>
        </w:rPr>
        <w:t xml:space="preserve">Копия независимой гарантии должна быть представлена Поставщиком на с</w:t>
      </w:r>
      <w:r>
        <w:rPr>
          <w:rFonts w:ascii="Times New Roman" w:hAnsi="Times New Roman" w:eastAsia="Times New Roman" w:cs="Times New Roman"/>
          <w:highlight w:val="yellow"/>
          <w:lang w:eastAsia="ru-RU"/>
        </w:rPr>
        <w:t xml:space="preserve">огласование Покупателю не позднее чем через</w:t>
      </w:r>
      <w:r>
        <w:rPr>
          <w:rFonts w:ascii="Times New Roman" w:hAnsi="Times New Roman" w:eastAsia="Times New Roman" w:cs="Times New Roman"/>
          <w:highlight w:val="yellow"/>
          <w:lang w:eastAsia="ru-RU"/>
        </w:rPr>
        <w:br/>
        <w:t xml:space="preserve">10 (десять) рабочих дней после вступления в силу протокола о результатах торгов, на основании которого Поставщик признан победителем закупочной процедуры. Оригинал предварительно согласованной Покупателем независ</w:t>
      </w:r>
      <w:r>
        <w:rPr>
          <w:rFonts w:ascii="Times New Roman" w:hAnsi="Times New Roman" w:eastAsia="Times New Roman" w:cs="Times New Roman"/>
          <w:highlight w:val="yellow"/>
          <w:lang w:eastAsia="ru-RU"/>
        </w:rPr>
        <w:t xml:space="preserve">имой гарантии должен быть представлен Поставщиком Покупателю не позднее чем за 1 (один) рабочий день до заключения Договора.</w:t>
      </w:r>
      <w:r>
        <w:rPr>
          <w:rFonts w:ascii="Times New Roman" w:hAnsi="Times New Roman" w:eastAsia="Times New Roman" w:cs="Times New Roman"/>
          <w:highlight w:val="yellow"/>
          <w:lang w:eastAsia="ru-RU"/>
        </w:rPr>
      </w:r>
    </w:p>
    <w:p>
      <w:pPr>
        <w:contextualSpacing/>
        <w:ind w:firstLine="709"/>
        <w:jc w:val="both"/>
        <w:spacing w:after="0" w:line="240" w:lineRule="auto"/>
        <w:widowControl w:val="off"/>
        <w:rPr>
          <w:rFonts w:ascii="Times New Roman" w:hAnsi="Times New Roman" w:eastAsia="Times New Roman" w:cs="Times New Roman"/>
          <w:lang w:eastAsia="ru-RU"/>
        </w:rPr>
      </w:pPr>
      <w:r>
        <w:rPr>
          <w:rFonts w:ascii="Times New Roman" w:hAnsi="Times New Roman" w:eastAsia="Times New Roman" w:cs="Times New Roman"/>
          <w:highlight w:val="yellow"/>
          <w:lang w:eastAsia="ru-RU"/>
        </w:rPr>
        <w:t xml:space="preserve">По соглашению Сторон сумма обеспечения по независимой гарантии может быть уменьшена пропорционально объему поставленного Товара, в </w:t>
      </w:r>
      <w:r>
        <w:rPr>
          <w:rFonts w:ascii="Times New Roman" w:hAnsi="Times New Roman" w:eastAsia="Times New Roman" w:cs="Times New Roman"/>
          <w:highlight w:val="yellow"/>
          <w:lang w:eastAsia="ru-RU"/>
        </w:rPr>
        <w:t xml:space="preserve">отношении которого оформлены Документы о приемке Товара, </w:t>
      </w:r>
      <w:r>
        <w:rPr>
          <w:rFonts w:ascii="Times New Roman" w:hAnsi="Times New Roman" w:eastAsia="Times New Roman" w:cs="Times New Roman"/>
          <w:bCs/>
          <w:highlight w:val="yellow"/>
          <w:lang w:eastAsia="ru-RU"/>
        </w:rPr>
        <w:t xml:space="preserve">на основании подписанного Сторонами двухстороннего акта сверки авансовой задолженности по Договору</w:t>
      </w:r>
      <w:r>
        <w:rPr>
          <w:rFonts w:ascii="Times New Roman" w:hAnsi="Times New Roman" w:eastAsia="Times New Roman" w:cs="Times New Roman"/>
          <w:highlight w:val="yellow"/>
          <w:lang w:eastAsia="ru-RU"/>
        </w:rPr>
        <w:t xml:space="preserve">. В этом случае сумма независимой гарантии должна быть не менее суммы непогашенного (неотработанного)</w:t>
      </w:r>
      <w:r>
        <w:rPr>
          <w:rFonts w:ascii="Times New Roman" w:hAnsi="Times New Roman" w:eastAsia="Times New Roman" w:cs="Times New Roman"/>
          <w:highlight w:val="yellow"/>
          <w:lang w:eastAsia="ru-RU"/>
        </w:rPr>
        <w:t xml:space="preserve"> аванса, но в любом случае не менее 5 % (пяти процентов) от начальной (максимальной) цены Договора (цены лота) и не менее 5 % (пяти процентов) от цены Договора.</w:t>
      </w:r>
      <w:r>
        <w:rPr>
          <w:rFonts w:ascii="Times New Roman" w:hAnsi="Times New Roman" w:eastAsia="Times New Roman" w:cs="Times New Roman"/>
          <w:lang w:eastAsia="ru-RU"/>
        </w:rPr>
      </w:r>
    </w:p>
    <w:p>
      <w:pPr>
        <w:contextualSpacing/>
        <w:ind w:firstLine="709"/>
        <w:jc w:val="both"/>
        <w:spacing w:after="0" w:line="240" w:lineRule="auto"/>
        <w:widowControl w:val="off"/>
        <w:rPr>
          <w:rFonts w:ascii="Times New Roman" w:hAnsi="Times New Roman" w:eastAsia="Times New Roman" w:cs="Times New Roman"/>
          <w:lang w:eastAsia="ru-RU"/>
        </w:rPr>
      </w:pPr>
      <w:r>
        <w:rPr>
          <w:rFonts w:ascii="Times New Roman" w:hAnsi="Times New Roman" w:eastAsia="Times New Roman" w:cs="Times New Roman"/>
          <w:highlight w:val="yellow"/>
          <w:lang w:eastAsia="ru-RU"/>
        </w:rPr>
        <w:t xml:space="preserve">2.2. Независимой гарантией на исполнение Поставщиком обязательств по Договору (по форме приложе</w:t>
      </w:r>
      <w:r>
        <w:rPr>
          <w:rFonts w:ascii="Times New Roman" w:hAnsi="Times New Roman" w:eastAsia="Times New Roman" w:cs="Times New Roman"/>
          <w:highlight w:val="yellow"/>
          <w:lang w:eastAsia="ru-RU"/>
        </w:rPr>
        <w:t xml:space="preserve">ния 10.1 к настоящему Договору) на сумму не менее 5 % (пяти процентов) от начальной (максимальной) цены Договора (цены лота), но не менее 5% от цены Договора в случае, если цена Договора в редакции дополнительных соглашений превысила начальную (максимальну</w:t>
      </w:r>
      <w:r>
        <w:rPr>
          <w:rFonts w:ascii="Times New Roman" w:hAnsi="Times New Roman" w:eastAsia="Times New Roman" w:cs="Times New Roman"/>
          <w:highlight w:val="yellow"/>
          <w:lang w:eastAsia="ru-RU"/>
        </w:rPr>
        <w:t xml:space="preserve">ю) цену Договора (цену лота), срок действия которой должен начинаться не позднее даты заключения Договора (в случае заключения дополнительного соглашения, предусматривающего предоставление независимой гарантии впервые - не позднее даты заключения дополните</w:t>
      </w:r>
      <w:r>
        <w:rPr>
          <w:rFonts w:ascii="Times New Roman" w:hAnsi="Times New Roman" w:eastAsia="Times New Roman" w:cs="Times New Roman"/>
          <w:highlight w:val="yellow"/>
          <w:lang w:eastAsia="ru-RU"/>
        </w:rPr>
        <w:t xml:space="preserve">льного соглашения) и заканчиваться не ранее чем через 60 (шестьдесят) дней после установленной даты подписания Сторонами последнего Документа о приемке Товара/</w:t>
      </w:r>
      <w:r>
        <w:rPr>
          <w:rFonts w:ascii="Times New Roman" w:hAnsi="Times New Roman" w:eastAsia="Times New Roman" w:cs="Times New Roman"/>
          <w:i/>
          <w:highlight w:val="yellow"/>
          <w:lang w:eastAsia="ru-RU"/>
        </w:rPr>
        <w:t xml:space="preserve">последнего акта оказания дополнительных услуг (в случае наличия соответствующих услуг в предмете </w:t>
      </w:r>
      <w:r>
        <w:rPr>
          <w:rFonts w:ascii="Times New Roman" w:hAnsi="Times New Roman" w:eastAsia="Times New Roman" w:cs="Times New Roman"/>
          <w:i/>
          <w:highlight w:val="yellow"/>
          <w:lang w:eastAsia="ru-RU"/>
        </w:rPr>
        <w:t xml:space="preserve">Договора)</w:t>
      </w:r>
      <w:r>
        <w:rPr>
          <w:rFonts w:ascii="Times New Roman" w:hAnsi="Times New Roman" w:eastAsia="Times New Roman" w:cs="Times New Roman"/>
          <w:highlight w:val="yellow"/>
          <w:lang w:eastAsia="ru-RU"/>
        </w:rPr>
        <w:t xml:space="preserve"> и не должен быть ограничен сроком, указанным в п. 2.2 настоящего Договора.</w:t>
      </w:r>
      <w:r>
        <w:rPr>
          <w:rFonts w:ascii="Times New Roman" w:hAnsi="Times New Roman" w:eastAsia="Times New Roman" w:cs="Times New Roman"/>
          <w:lang w:eastAsia="ru-RU"/>
        </w:rPr>
      </w:r>
    </w:p>
    <w:p>
      <w:pPr>
        <w:contextualSpacing/>
        <w:ind w:firstLine="709"/>
        <w:jc w:val="both"/>
        <w:spacing w:after="0" w:line="240" w:lineRule="auto"/>
        <w:widowControl w:val="off"/>
        <w:rPr>
          <w:rFonts w:ascii="Times New Roman" w:hAnsi="Times New Roman" w:eastAsia="Times New Roman" w:cs="Times New Roman"/>
          <w:lang w:eastAsia="ru-RU"/>
        </w:rPr>
      </w:pPr>
      <w:r>
        <w:rPr>
          <w:rFonts w:ascii="Times New Roman" w:hAnsi="Times New Roman" w:eastAsia="Times New Roman" w:cs="Times New Roman"/>
          <w:lang w:eastAsia="ru-RU"/>
        </w:rPr>
        <w:t xml:space="preserve">Не допускается предоставление нескольких независимых гарантий на исполнение обязательств, совокупная сумма которых соответствует сумме независимой гарантии, предусмотренно</w:t>
      </w:r>
      <w:r>
        <w:rPr>
          <w:rFonts w:ascii="Times New Roman" w:hAnsi="Times New Roman" w:eastAsia="Times New Roman" w:cs="Times New Roman"/>
          <w:lang w:eastAsia="ru-RU"/>
        </w:rPr>
        <w:t xml:space="preserve">й п. 2.2 настоящего приложения.</w:t>
      </w:r>
      <w:r>
        <w:rPr>
          <w:rFonts w:ascii="Times New Roman" w:hAnsi="Times New Roman" w:eastAsia="Times New Roman" w:cs="Times New Roman"/>
          <w:lang w:eastAsia="ru-RU"/>
        </w:rPr>
      </w:r>
    </w:p>
    <w:p>
      <w:pPr>
        <w:contextualSpacing/>
        <w:ind w:firstLine="709"/>
        <w:jc w:val="both"/>
        <w:spacing w:after="0" w:line="240" w:lineRule="auto"/>
        <w:widowControl w:val="off"/>
        <w:rPr>
          <w:rFonts w:ascii="Times New Roman" w:hAnsi="Times New Roman" w:eastAsia="Times New Roman" w:cs="Times New Roman"/>
          <w:lang w:eastAsia="ru-RU"/>
        </w:rPr>
      </w:pPr>
      <w:r>
        <w:rPr>
          <w:rFonts w:ascii="Times New Roman" w:hAnsi="Times New Roman" w:eastAsia="Times New Roman" w:cs="Times New Roman"/>
          <w:lang w:eastAsia="ru-RU"/>
        </w:rPr>
        <w:t xml:space="preserve">Копия независимой гарантии должна быть представлена Поставщиком на согласование Покупателю не позднее, чем через 10 (десять) рабочих дней после вступления в силу протокола </w:t>
      </w:r>
      <w:r>
        <w:rPr>
          <w:rFonts w:ascii="Times New Roman" w:hAnsi="Times New Roman" w:eastAsia="Times New Roman" w:cs="Times New Roman"/>
          <w:highlight w:val="yellow"/>
          <w:lang w:eastAsia="ru-RU"/>
        </w:rPr>
        <w:t xml:space="preserve">подведения итогов закупки</w:t>
      </w:r>
      <w:r>
        <w:rPr>
          <w:rFonts w:ascii="Times New Roman" w:hAnsi="Times New Roman" w:eastAsia="Times New Roman" w:cs="Times New Roman"/>
          <w:lang w:eastAsia="ru-RU"/>
        </w:rPr>
        <w:t xml:space="preserve">, на основании которого Пос</w:t>
      </w:r>
      <w:r>
        <w:rPr>
          <w:rFonts w:ascii="Times New Roman" w:hAnsi="Times New Roman" w:eastAsia="Times New Roman" w:cs="Times New Roman"/>
          <w:lang w:eastAsia="ru-RU"/>
        </w:rPr>
        <w:t xml:space="preserve">тавщик признан победителем закупочной процедуры. Оригинал предварительно согласованной Покупателем независимой гарантии должен быть представлен Поставщиком Покупателю не позднее, чем за 1 (один) рабочий день до заключения Договора (в случае заключения допо</w:t>
      </w:r>
      <w:r>
        <w:rPr>
          <w:rFonts w:ascii="Times New Roman" w:hAnsi="Times New Roman" w:eastAsia="Times New Roman" w:cs="Times New Roman"/>
          <w:lang w:eastAsia="ru-RU"/>
        </w:rPr>
        <w:t xml:space="preserve">лнительного соглашения, предусматривающего предоставление независимой гарантии впервые - не позднее, чем за 1 (один) рабочий день до даты заключения дополнительного соглашения).</w:t>
      </w:r>
      <w:r>
        <w:rPr>
          <w:rFonts w:ascii="Times New Roman" w:hAnsi="Times New Roman" w:eastAsia="Times New Roman" w:cs="Times New Roman"/>
          <w:lang w:eastAsia="ru-RU"/>
        </w:rPr>
      </w:r>
    </w:p>
    <w:p>
      <w:pPr>
        <w:contextualSpacing/>
        <w:ind w:firstLine="709"/>
        <w:jc w:val="both"/>
        <w:spacing w:after="0" w:line="240" w:lineRule="auto"/>
        <w:widowControl w:val="off"/>
        <w:rPr>
          <w:rFonts w:ascii="Times New Roman" w:hAnsi="Times New Roman" w:eastAsia="Times New Roman" w:cs="Times New Roman"/>
          <w:lang w:eastAsia="ru-RU"/>
        </w:rPr>
      </w:pPr>
      <w:r>
        <w:rPr>
          <w:rFonts w:ascii="Times New Roman" w:hAnsi="Times New Roman" w:eastAsia="Times New Roman" w:cs="Times New Roman"/>
          <w:lang w:eastAsia="ru-RU"/>
        </w:rPr>
        <w:t xml:space="preserve">Покупатель вправе по письменному обращению Поставщика осуществить досрочный во</w:t>
      </w:r>
      <w:r>
        <w:rPr>
          <w:rFonts w:ascii="Times New Roman" w:hAnsi="Times New Roman" w:eastAsia="Times New Roman" w:cs="Times New Roman"/>
          <w:lang w:eastAsia="ru-RU"/>
        </w:rPr>
        <w:t xml:space="preserve">зврат Поставщику независимой гарантии надлежащего исполнения обязательств Поставщиком до окончания установленного срока действия независимой гарантии, при одновременном соблюдении следующих условий:</w:t>
      </w:r>
      <w:r>
        <w:rPr>
          <w:rFonts w:ascii="Times New Roman" w:hAnsi="Times New Roman" w:eastAsia="Times New Roman" w:cs="Times New Roman"/>
          <w:lang w:eastAsia="ru-RU"/>
        </w:rPr>
      </w:r>
    </w:p>
    <w:p>
      <w:pPr>
        <w:contextualSpacing/>
        <w:ind w:firstLine="709"/>
        <w:jc w:val="both"/>
        <w:spacing w:after="0" w:line="240" w:lineRule="auto"/>
        <w:widowControl w:val="off"/>
        <w:rPr>
          <w:rFonts w:ascii="Times New Roman" w:hAnsi="Times New Roman" w:eastAsia="Times New Roman" w:cs="Times New Roman"/>
          <w:lang w:eastAsia="ru-RU"/>
        </w:rPr>
      </w:pPr>
      <w:r>
        <w:rPr>
          <w:rFonts w:ascii="Times New Roman" w:hAnsi="Times New Roman" w:eastAsia="Times New Roman" w:cs="Times New Roman"/>
          <w:lang w:eastAsia="ru-RU"/>
        </w:rPr>
        <w:t xml:space="preserve">- после достижения суммы поставленного Товара по договору</w:t>
      </w:r>
      <w:r>
        <w:rPr>
          <w:rFonts w:ascii="Times New Roman" w:hAnsi="Times New Roman" w:eastAsia="Times New Roman" w:cs="Times New Roman"/>
          <w:lang w:eastAsia="ru-RU"/>
        </w:rPr>
        <w:t xml:space="preserve">, не предусматривающему авансовые платежи, в размере свыше 20% (двадцати процентов) от цены Договора, а по Договору, предусматривающему авансовые платежи, - в размере выплаченных авансовых платежей, но не менее 20% (двадцати процентов) от цены Договора;</w:t>
      </w:r>
      <w:r>
        <w:rPr>
          <w:rFonts w:ascii="Times New Roman" w:hAnsi="Times New Roman" w:eastAsia="Times New Roman" w:cs="Times New Roman"/>
          <w:lang w:eastAsia="ru-RU"/>
        </w:rPr>
      </w:r>
    </w:p>
    <w:p>
      <w:pPr>
        <w:contextualSpacing/>
        <w:ind w:firstLine="709"/>
        <w:jc w:val="both"/>
        <w:spacing w:after="0" w:line="240" w:lineRule="auto"/>
        <w:widowControl w:val="off"/>
        <w:rPr>
          <w:rFonts w:ascii="Times New Roman" w:hAnsi="Times New Roman" w:eastAsia="Times New Roman" w:cs="Times New Roman"/>
          <w:lang w:eastAsia="ru-RU"/>
        </w:rPr>
      </w:pPr>
      <w:r>
        <w:rPr>
          <w:rFonts w:ascii="Times New Roman" w:hAnsi="Times New Roman" w:eastAsia="Times New Roman" w:cs="Times New Roman"/>
          <w:lang w:eastAsia="ru-RU"/>
        </w:rPr>
        <w:t xml:space="preserve">- </w:t>
      </w:r>
      <w:r>
        <w:rPr>
          <w:rFonts w:ascii="Times New Roman" w:hAnsi="Times New Roman" w:eastAsia="Times New Roman" w:cs="Times New Roman"/>
          <w:lang w:eastAsia="ru-RU"/>
        </w:rPr>
        <w:t xml:space="preserve">если в соответствии с Договором Поставщиком перечислен обеспечительный платеж в качестве способа обеспечения исполнения Договора либо Гарантийный депозит достиг размера не менее 10% (десяти процентов) от цены Договора;</w:t>
      </w:r>
      <w:r>
        <w:rPr>
          <w:rFonts w:ascii="Times New Roman" w:hAnsi="Times New Roman" w:eastAsia="Times New Roman" w:cs="Times New Roman"/>
          <w:lang w:eastAsia="ru-RU"/>
        </w:rPr>
      </w:r>
    </w:p>
    <w:p>
      <w:pPr>
        <w:contextualSpacing/>
        <w:ind w:firstLine="709"/>
        <w:jc w:val="both"/>
        <w:spacing w:after="0" w:line="240" w:lineRule="auto"/>
        <w:widowControl w:val="off"/>
        <w:rPr>
          <w:rFonts w:ascii="Times New Roman" w:hAnsi="Times New Roman" w:eastAsia="Times New Roman" w:cs="Times New Roman"/>
          <w:lang w:eastAsia="ru-RU"/>
        </w:rPr>
      </w:pPr>
      <w:r>
        <w:rPr>
          <w:rFonts w:ascii="Times New Roman" w:hAnsi="Times New Roman" w:eastAsia="Times New Roman" w:cs="Times New Roman"/>
          <w:lang w:eastAsia="ru-RU"/>
        </w:rPr>
        <w:t xml:space="preserve">- отсутствует неурегулированная прете</w:t>
      </w:r>
      <w:r>
        <w:rPr>
          <w:rFonts w:ascii="Times New Roman" w:hAnsi="Times New Roman" w:eastAsia="Times New Roman" w:cs="Times New Roman"/>
          <w:lang w:eastAsia="ru-RU"/>
        </w:rPr>
        <w:t xml:space="preserve">нзионно-исковая работа;</w:t>
      </w:r>
      <w:r>
        <w:rPr>
          <w:rFonts w:ascii="Times New Roman" w:hAnsi="Times New Roman" w:eastAsia="Times New Roman" w:cs="Times New Roman"/>
          <w:lang w:eastAsia="ru-RU"/>
        </w:rPr>
      </w:r>
    </w:p>
    <w:p>
      <w:pPr>
        <w:contextualSpacing/>
        <w:ind w:firstLine="709"/>
        <w:jc w:val="both"/>
        <w:spacing w:after="0" w:line="240" w:lineRule="auto"/>
        <w:widowControl w:val="off"/>
        <w:rPr>
          <w:rFonts w:ascii="Times New Roman" w:hAnsi="Times New Roman" w:eastAsia="Times New Roman" w:cs="Times New Roman"/>
        </w:rPr>
      </w:pPr>
      <w:r>
        <w:rPr>
          <w:rFonts w:ascii="Times New Roman" w:hAnsi="Times New Roman" w:eastAsia="Times New Roman" w:cs="Times New Roman"/>
        </w:rPr>
        <w:t xml:space="preserve">- отсутствуют нарушения Поставщиком в части исполнения своих договорных обязательств.</w:t>
      </w:r>
      <w:r>
        <w:rPr>
          <w:rFonts w:ascii="Times New Roman" w:hAnsi="Times New Roman" w:eastAsia="Times New Roman" w:cs="Times New Roman"/>
        </w:rPr>
      </w:r>
    </w:p>
    <w:p>
      <w:pPr>
        <w:contextualSpacing/>
        <w:ind w:firstLine="709"/>
        <w:jc w:val="both"/>
        <w:spacing w:after="0" w:line="240" w:lineRule="auto"/>
        <w:widowControl w:val="off"/>
        <w:rPr>
          <w:rFonts w:ascii="Times New Roman" w:hAnsi="Times New Roman" w:eastAsia="Times New Roman" w:cs="Times New Roman"/>
          <w:lang w:eastAsia="ru-RU"/>
        </w:rPr>
      </w:pPr>
      <w:r>
        <w:rPr>
          <w:rFonts w:ascii="Times New Roman" w:hAnsi="Times New Roman" w:eastAsia="Times New Roman" w:cs="Times New Roman"/>
          <w:lang w:eastAsia="ru-RU"/>
        </w:rPr>
        <w:t xml:space="preserve">В случае досрочного возврата Покупателем независимой гарантии надлежащего исполнения обязательств Поставщику с соблюдением условий, перечисленных в настоящем пункте, Поставщик освобождается от исполнения обязательств, предусмотренных пп. 4, 10, 11, 12 наст</w:t>
      </w:r>
      <w:r>
        <w:rPr>
          <w:rFonts w:ascii="Times New Roman" w:hAnsi="Times New Roman" w:eastAsia="Times New Roman" w:cs="Times New Roman"/>
          <w:lang w:eastAsia="ru-RU"/>
        </w:rPr>
        <w:t xml:space="preserve">оящего приложения, в части предоставления дополнительных независимых </w:t>
      </w:r>
      <w:r>
        <w:rPr>
          <w:rFonts w:ascii="Times New Roman" w:hAnsi="Times New Roman" w:eastAsia="Times New Roman" w:cs="Times New Roman"/>
          <w:highlight w:val="yellow"/>
          <w:lang w:eastAsia="ru-RU"/>
        </w:rPr>
        <w:t xml:space="preserve">гарантий на исполнение Поставщиком обязательств по Договору,</w:t>
      </w:r>
      <w:r>
        <w:rPr>
          <w:rFonts w:ascii="Times New Roman" w:hAnsi="Times New Roman" w:eastAsia="Times New Roman" w:cs="Times New Roman"/>
          <w:lang w:eastAsia="ru-RU"/>
        </w:rPr>
        <w:t xml:space="preserve"> продления или замены указанных независимых гарантий.</w:t>
      </w:r>
      <w:r>
        <w:rPr>
          <w:rFonts w:ascii="Times New Roman" w:hAnsi="Times New Roman" w:eastAsia="Times New Roman" w:cs="Times New Roman"/>
          <w:lang w:eastAsia="ru-RU"/>
        </w:rPr>
      </w:r>
    </w:p>
    <w:p>
      <w:pPr>
        <w:contextualSpacing/>
        <w:ind w:firstLine="851"/>
        <w:jc w:val="both"/>
        <w:spacing w:after="0" w:line="240" w:lineRule="auto"/>
        <w:widowControl w:val="off"/>
        <w:rPr>
          <w:rFonts w:ascii="Times New Roman" w:hAnsi="Times New Roman" w:eastAsia="Times New Roman" w:cs="Times New Roman"/>
        </w:rPr>
      </w:pPr>
      <w:r>
        <w:rPr>
          <w:rFonts w:ascii="Times New Roman" w:hAnsi="Times New Roman" w:eastAsia="Times New Roman" w:cs="Times New Roman"/>
          <w:lang w:eastAsia="ru-RU"/>
        </w:rPr>
        <w:t xml:space="preserve">2.3. </w:t>
      </w:r>
      <w:r>
        <w:rPr>
          <w:rFonts w:ascii="Times New Roman" w:hAnsi="Times New Roman" w:eastAsia="Times New Roman" w:cs="Times New Roman"/>
        </w:rPr>
        <w:t xml:space="preserve">Независимой гарантией </w:t>
      </w:r>
      <w:r>
        <w:rPr>
          <w:rFonts w:ascii="Times New Roman" w:hAnsi="Times New Roman" w:eastAsia="Times New Roman" w:cs="Times New Roman"/>
          <w:highlight w:val="yellow"/>
        </w:rPr>
        <w:t xml:space="preserve">обеспечения</w:t>
      </w:r>
      <w:r>
        <w:rPr>
          <w:rFonts w:ascii="Times New Roman" w:hAnsi="Times New Roman" w:eastAsia="Times New Roman" w:cs="Times New Roman"/>
        </w:rPr>
        <w:t xml:space="preserve"> гарантийных обязательств (по форме</w:t>
      </w:r>
      <w:r>
        <w:rPr>
          <w:rFonts w:ascii="Times New Roman" w:hAnsi="Times New Roman" w:eastAsia="Times New Roman" w:cs="Times New Roman"/>
        </w:rPr>
        <w:t xml:space="preserve"> приложения 10.4. к настоящему Договору) на сумму не менее 5% (пяти процентов) от цены Договора </w:t>
      </w:r>
      <w:r>
        <w:rPr>
          <w:rFonts w:ascii="Times New Roman" w:hAnsi="Times New Roman" w:eastAsia="Times New Roman" w:cs="Times New Roman"/>
          <w:i/>
        </w:rPr>
        <w:t xml:space="preserve">(для субъектов, заключаемых с субъектами МСП – в размере 5% от цены Договора)</w:t>
      </w:r>
      <w:r>
        <w:rPr>
          <w:rFonts w:ascii="Times New Roman" w:hAnsi="Times New Roman" w:eastAsia="Times New Roman" w:cs="Times New Roman"/>
        </w:rPr>
        <w:t xml:space="preserve">, срок действия которой должен начинаться до даты начала гарантийного срока, предус</w:t>
      </w:r>
      <w:r>
        <w:rPr>
          <w:rFonts w:ascii="Times New Roman" w:hAnsi="Times New Roman" w:eastAsia="Times New Roman" w:cs="Times New Roman"/>
        </w:rPr>
        <w:t xml:space="preserve">мотренного статьей 11 настоящего Договора, и заканчиваться не ранее чем через 60 (шестьдесят) дней после планируемой даты окончания гарантийного срока в отношении всего объема, исполненного по Договору.</w:t>
      </w:r>
      <w:r>
        <w:rPr>
          <w:rFonts w:ascii="Times New Roman" w:hAnsi="Times New Roman" w:eastAsia="Times New Roman" w:cs="Times New Roman"/>
        </w:rPr>
      </w:r>
    </w:p>
    <w:p>
      <w:pPr>
        <w:contextualSpacing/>
        <w:ind w:firstLine="709"/>
        <w:jc w:val="both"/>
        <w:spacing w:after="0" w:line="240" w:lineRule="auto"/>
        <w:widowControl w:val="off"/>
        <w:rPr>
          <w:rFonts w:ascii="Times New Roman" w:hAnsi="Times New Roman" w:eastAsia="Times New Roman" w:cs="Times New Roman"/>
          <w:lang w:eastAsia="ru-RU"/>
        </w:rPr>
      </w:pPr>
      <w:r>
        <w:rPr>
          <w:rFonts w:ascii="Times New Roman" w:hAnsi="Times New Roman" w:eastAsia="Times New Roman" w:cs="Times New Roman"/>
          <w:lang w:eastAsia="ru-RU"/>
        </w:rPr>
        <w:t xml:space="preserve">Не допускается предоставление нескольких независимых </w:t>
      </w:r>
      <w:r>
        <w:rPr>
          <w:rFonts w:ascii="Times New Roman" w:hAnsi="Times New Roman" w:eastAsia="Times New Roman" w:cs="Times New Roman"/>
          <w:lang w:eastAsia="ru-RU"/>
        </w:rPr>
        <w:t xml:space="preserve">гарантий на обеспечение гарантийных обязательств, совокупная сумма которых соответствует сумме независимой гарантии, предусмотренной п. </w:t>
      </w:r>
      <w:r>
        <w:rPr>
          <w:rFonts w:ascii="Times New Roman" w:hAnsi="Times New Roman" w:eastAsia="Times New Roman" w:cs="Times New Roman"/>
          <w:highlight w:val="yellow"/>
          <w:lang w:eastAsia="ru-RU"/>
        </w:rPr>
        <w:t xml:space="preserve">2.4</w:t>
      </w:r>
      <w:r>
        <w:rPr>
          <w:rFonts w:ascii="Times New Roman" w:hAnsi="Times New Roman" w:eastAsia="Times New Roman" w:cs="Times New Roman"/>
          <w:lang w:eastAsia="ru-RU"/>
        </w:rPr>
        <w:t xml:space="preserve"> настоящего приложения.</w:t>
      </w:r>
      <w:r>
        <w:rPr>
          <w:rFonts w:ascii="Times New Roman" w:hAnsi="Times New Roman" w:eastAsia="Times New Roman" w:cs="Times New Roman"/>
          <w:lang w:eastAsia="ru-RU"/>
        </w:rPr>
      </w:r>
    </w:p>
    <w:p>
      <w:pPr>
        <w:contextualSpacing/>
        <w:ind w:firstLine="709"/>
        <w:jc w:val="both"/>
        <w:spacing w:after="0" w:line="240" w:lineRule="auto"/>
        <w:widowControl w:val="off"/>
        <w:rPr>
          <w:rFonts w:ascii="Times New Roman" w:hAnsi="Times New Roman" w:eastAsia="Times New Roman" w:cs="Times New Roman"/>
          <w:lang w:eastAsia="ru-RU"/>
        </w:rPr>
      </w:pPr>
      <w:r>
        <w:rPr>
          <w:rFonts w:ascii="Times New Roman" w:hAnsi="Times New Roman" w:eastAsia="Times New Roman" w:cs="Times New Roman"/>
          <w:lang w:eastAsia="ru-RU"/>
        </w:rPr>
        <w:t xml:space="preserve">Копия независимой гарантии должна быть представлена на согласование не позднее, чем за 10 (де</w:t>
      </w:r>
      <w:r>
        <w:rPr>
          <w:rFonts w:ascii="Times New Roman" w:hAnsi="Times New Roman" w:eastAsia="Times New Roman" w:cs="Times New Roman"/>
          <w:lang w:eastAsia="ru-RU"/>
        </w:rPr>
        <w:t xml:space="preserve">сять) рабочих дней до даты подписания Документа о приемке Товара, оригинал согласованной Покупателем независимой гарантии должен быть представлен Поставщиком не позднее запланированной даты подписания Сторонами Документа о приемке Товара и начала гарантийн</w:t>
      </w:r>
      <w:r>
        <w:rPr>
          <w:rFonts w:ascii="Times New Roman" w:hAnsi="Times New Roman" w:eastAsia="Times New Roman" w:cs="Times New Roman"/>
          <w:lang w:eastAsia="ru-RU"/>
        </w:rPr>
        <w:t xml:space="preserve">ого срока.</w:t>
      </w:r>
      <w:r>
        <w:rPr>
          <w:rFonts w:ascii="Times New Roman" w:hAnsi="Times New Roman" w:eastAsia="Times New Roman" w:cs="Times New Roman"/>
          <w:lang w:eastAsia="ru-RU"/>
        </w:rPr>
      </w:r>
    </w:p>
    <w:p>
      <w:pPr>
        <w:contextualSpacing/>
        <w:ind w:firstLine="709"/>
        <w:jc w:val="both"/>
        <w:spacing w:after="0" w:line="240" w:lineRule="auto"/>
        <w:widowControl w:val="off"/>
        <w:rPr>
          <w:rFonts w:ascii="Times New Roman" w:hAnsi="Times New Roman" w:eastAsia="Times New Roman" w:cs="Times New Roman"/>
          <w:lang w:eastAsia="ru-RU"/>
        </w:rPr>
      </w:pPr>
      <w:r>
        <w:rPr>
          <w:rFonts w:ascii="Times New Roman" w:hAnsi="Times New Roman" w:eastAsia="Times New Roman" w:cs="Times New Roman"/>
          <w:lang w:eastAsia="ru-RU"/>
        </w:rPr>
        <w:t xml:space="preserve">2.4. </w:t>
      </w:r>
      <w:r>
        <w:rPr>
          <w:rFonts w:ascii="Times New Roman" w:hAnsi="Times New Roman" w:eastAsia="Times New Roman" w:cs="Times New Roman"/>
          <w:b/>
          <w:i/>
          <w:iCs/>
          <w:lang w:eastAsia="ru-RU"/>
        </w:rPr>
        <w:t xml:space="preserve">(пункт не применяется для договоров, заключаемых по результатам </w:t>
      </w:r>
      <w:r>
        <w:rPr>
          <w:rFonts w:ascii="Times New Roman" w:hAnsi="Times New Roman" w:eastAsia="Times New Roman" w:cs="Times New Roman"/>
          <w:b/>
          <w:i/>
          <w:iCs/>
          <w:highlight w:val="yellow"/>
          <w:lang w:eastAsia="ru-RU"/>
        </w:rPr>
        <w:t xml:space="preserve">конкурентной</w:t>
      </w:r>
      <w:r>
        <w:rPr>
          <w:rFonts w:ascii="Times New Roman" w:hAnsi="Times New Roman" w:eastAsia="Times New Roman" w:cs="Times New Roman"/>
          <w:b/>
          <w:i/>
          <w:iCs/>
          <w:lang w:eastAsia="ru-RU"/>
        </w:rPr>
        <w:t xml:space="preserve"> закупки, участниками которой могут быть только субъекты МСП)</w:t>
      </w:r>
      <w:r>
        <w:rPr>
          <w:rFonts w:ascii="Times New Roman" w:hAnsi="Times New Roman" w:eastAsia="Times New Roman" w:cs="Times New Roman"/>
          <w:lang w:eastAsia="ru-RU"/>
        </w:rPr>
        <w:t xml:space="preserve"> </w:t>
      </w:r>
      <w:r>
        <w:rPr>
          <w:rFonts w:ascii="Times New Roman" w:hAnsi="Times New Roman" w:eastAsia="Times New Roman" w:cs="Times New Roman"/>
          <w:lang w:eastAsia="ru-RU"/>
        </w:rPr>
      </w:r>
    </w:p>
    <w:p>
      <w:pPr>
        <w:contextualSpacing/>
        <w:ind w:firstLine="709"/>
        <w:jc w:val="both"/>
        <w:spacing w:after="0" w:line="240" w:lineRule="auto"/>
        <w:widowControl w:val="off"/>
        <w:rPr>
          <w:rFonts w:ascii="Times New Roman" w:hAnsi="Times New Roman" w:eastAsia="Times New Roman" w:cs="Times New Roman"/>
          <w:lang w:eastAsia="ru-RU"/>
        </w:rPr>
      </w:pPr>
      <w:r>
        <w:rPr>
          <w:rFonts w:ascii="Times New Roman" w:hAnsi="Times New Roman" w:eastAsia="Times New Roman" w:cs="Times New Roman"/>
          <w:lang w:eastAsia="ru-RU"/>
        </w:rPr>
        <w:t xml:space="preserve">Возврат авансовых платежей, исполнение Поставщиком обязательств по Договору и гарантийные обязательст</w:t>
      </w:r>
      <w:r>
        <w:rPr>
          <w:rFonts w:ascii="Times New Roman" w:hAnsi="Times New Roman" w:eastAsia="Times New Roman" w:cs="Times New Roman"/>
          <w:lang w:eastAsia="ru-RU"/>
        </w:rPr>
        <w:t xml:space="preserve">ва могут обеспечиваться единой независимой гарантией (по форме приложения 10.3. к настоящему Договору) на сумму не менее размера аванса, предусмотренного Договором (либо на часть суммы аванса по согласованию с Покупателем), но в любом случае не менее 5 % (</w:t>
      </w:r>
      <w:r>
        <w:rPr>
          <w:rFonts w:ascii="Times New Roman" w:hAnsi="Times New Roman" w:eastAsia="Times New Roman" w:cs="Times New Roman"/>
          <w:lang w:eastAsia="ru-RU"/>
        </w:rPr>
        <w:t xml:space="preserve">пяти процентов) от начальной (максимальной) цены Договора (цены лота) и не менее 5% от цены Договора, в случае если цена Договора в редакции дополнительных соглашений превысила начальную (максимальную) цену Договора (цену лота), срок действия которой долже</w:t>
      </w:r>
      <w:r>
        <w:rPr>
          <w:rFonts w:ascii="Times New Roman" w:hAnsi="Times New Roman" w:eastAsia="Times New Roman" w:cs="Times New Roman"/>
          <w:lang w:eastAsia="ru-RU"/>
        </w:rPr>
        <w:t xml:space="preserve">н начинаться </w:t>
      </w:r>
      <w:r>
        <w:rPr>
          <w:rFonts w:ascii="Times New Roman" w:hAnsi="Times New Roman" w:eastAsia="Times New Roman" w:cs="Times New Roman"/>
          <w:highlight w:val="yellow"/>
          <w:lang w:eastAsia="ru-RU"/>
        </w:rPr>
        <w:t xml:space="preserve">не позднее</w:t>
      </w:r>
      <w:r>
        <w:rPr>
          <w:rFonts w:ascii="Times New Roman" w:hAnsi="Times New Roman" w:eastAsia="Times New Roman" w:cs="Times New Roman"/>
          <w:lang w:eastAsia="ru-RU"/>
        </w:rPr>
        <w:t xml:space="preserve"> даты заключения Договора и заканчиваться не ранее, чем через 60 (шестьдесят) дней после даты окончания гарантийного срока, установленного Договором, </w:t>
      </w:r>
      <w:r>
        <w:rPr>
          <w:rFonts w:ascii="Times New Roman" w:hAnsi="Times New Roman" w:eastAsia="Times New Roman" w:cs="Times New Roman"/>
          <w:highlight w:val="yellow"/>
          <w:lang w:eastAsia="ru-RU"/>
        </w:rPr>
        <w:t xml:space="preserve">если независимая гарантия выдана в обеспечение в том числе гарантийных обязательств</w:t>
      </w:r>
      <w:r>
        <w:rPr>
          <w:rFonts w:ascii="Times New Roman" w:hAnsi="Times New Roman" w:eastAsia="Times New Roman" w:cs="Times New Roman"/>
          <w:highlight w:val="yellow"/>
          <w:lang w:eastAsia="ru-RU"/>
        </w:rPr>
        <w:t xml:space="preserve"> по Договору.</w:t>
      </w:r>
      <w:r>
        <w:rPr>
          <w:rFonts w:ascii="Times New Roman" w:hAnsi="Times New Roman" w:eastAsia="Times New Roman" w:cs="Times New Roman"/>
          <w:lang w:eastAsia="ru-RU"/>
        </w:rPr>
        <w:t xml:space="preserve">*</w:t>
      </w:r>
      <w:r>
        <w:rPr>
          <w:rFonts w:ascii="Times New Roman" w:hAnsi="Times New Roman" w:eastAsia="Times New Roman" w:cs="Times New Roman"/>
          <w:lang w:eastAsia="ru-RU"/>
        </w:rPr>
      </w:r>
    </w:p>
    <w:p>
      <w:pPr>
        <w:contextualSpacing/>
        <w:ind w:firstLine="709"/>
        <w:jc w:val="both"/>
        <w:spacing w:after="0" w:line="240" w:lineRule="auto"/>
        <w:widowControl w:val="off"/>
        <w:rPr>
          <w:rFonts w:ascii="Times New Roman" w:hAnsi="Times New Roman" w:eastAsia="Times New Roman" w:cs="Times New Roman"/>
          <w:b/>
          <w:i/>
          <w:lang w:eastAsia="ru-RU"/>
        </w:rPr>
      </w:pPr>
      <w:r>
        <w:rPr>
          <w:rFonts w:ascii="Times New Roman" w:hAnsi="Times New Roman" w:eastAsia="Times New Roman" w:cs="Times New Roman"/>
          <w:b/>
          <w:i/>
          <w:lang w:eastAsia="ru-RU"/>
        </w:rPr>
        <w:t xml:space="preserve">*Примечание: решение о предоставлении Поставщиком единой независимой гарантии по Договору принимается куратором Договора на основании письменного обращения Поставщика. </w:t>
      </w:r>
      <w:r>
        <w:rPr>
          <w:rFonts w:ascii="Times New Roman" w:hAnsi="Times New Roman" w:eastAsia="Times New Roman" w:cs="Times New Roman"/>
          <w:b/>
          <w:i/>
          <w:lang w:eastAsia="ru-RU"/>
        </w:rPr>
      </w:r>
    </w:p>
    <w:p>
      <w:pPr>
        <w:contextualSpacing/>
        <w:ind w:firstLine="709"/>
        <w:jc w:val="both"/>
        <w:spacing w:after="0" w:line="240" w:lineRule="auto"/>
        <w:widowControl w:val="off"/>
        <w:rPr>
          <w:rFonts w:ascii="Times New Roman" w:hAnsi="Times New Roman" w:eastAsia="Times New Roman" w:cs="Times New Roman"/>
          <w:lang w:eastAsia="ru-RU"/>
        </w:rPr>
      </w:pPr>
      <w:r>
        <w:rPr>
          <w:rFonts w:ascii="Times New Roman" w:hAnsi="Times New Roman" w:eastAsia="Times New Roman" w:cs="Times New Roman"/>
          <w:lang w:eastAsia="ru-RU"/>
        </w:rPr>
        <w:t xml:space="preserve">Не допускается предоставление нескольких единых независимых гарантий, со</w:t>
      </w:r>
      <w:r>
        <w:rPr>
          <w:rFonts w:ascii="Times New Roman" w:hAnsi="Times New Roman" w:eastAsia="Times New Roman" w:cs="Times New Roman"/>
          <w:lang w:eastAsia="ru-RU"/>
        </w:rPr>
        <w:t xml:space="preserve">вокупная сумма которых соответствует сумме независимой гарантии, предусмотренной п. </w:t>
      </w:r>
      <w:r>
        <w:rPr>
          <w:rFonts w:ascii="Times New Roman" w:hAnsi="Times New Roman" w:eastAsia="Times New Roman" w:cs="Times New Roman"/>
          <w:highlight w:val="yellow"/>
          <w:lang w:eastAsia="ru-RU"/>
        </w:rPr>
        <w:t xml:space="preserve">2.5</w:t>
      </w:r>
      <w:r>
        <w:rPr>
          <w:rFonts w:ascii="Times New Roman" w:hAnsi="Times New Roman" w:eastAsia="Times New Roman" w:cs="Times New Roman"/>
          <w:lang w:eastAsia="ru-RU"/>
        </w:rPr>
        <w:t xml:space="preserve"> настоящего приложения.</w:t>
      </w:r>
      <w:r>
        <w:rPr>
          <w:rFonts w:ascii="Times New Roman" w:hAnsi="Times New Roman" w:eastAsia="Times New Roman" w:cs="Times New Roman"/>
          <w:lang w:eastAsia="ru-RU"/>
        </w:rPr>
      </w:r>
    </w:p>
    <w:p>
      <w:pPr>
        <w:contextualSpacing/>
        <w:ind w:firstLine="709"/>
        <w:jc w:val="both"/>
        <w:spacing w:after="0" w:line="240" w:lineRule="auto"/>
        <w:widowControl w:val="off"/>
        <w:rPr>
          <w:rFonts w:ascii="Times New Roman" w:hAnsi="Times New Roman" w:eastAsia="Times New Roman" w:cs="Times New Roman"/>
          <w:lang w:eastAsia="ru-RU"/>
        </w:rPr>
      </w:pPr>
      <w:r>
        <w:rPr>
          <w:rFonts w:ascii="Times New Roman" w:hAnsi="Times New Roman" w:eastAsia="Times New Roman" w:cs="Times New Roman"/>
          <w:lang w:eastAsia="ru-RU"/>
        </w:rPr>
        <w:t xml:space="preserve">Копия независимой гарантии должна быть представлена Поставщиком на согласование Покупателю не позднее, чем через 10 (десять) рабочих дней после в</w:t>
      </w:r>
      <w:r>
        <w:rPr>
          <w:rFonts w:ascii="Times New Roman" w:hAnsi="Times New Roman" w:eastAsia="Times New Roman" w:cs="Times New Roman"/>
          <w:lang w:eastAsia="ru-RU"/>
        </w:rPr>
        <w:t xml:space="preserve">ступления в силу протокола </w:t>
      </w:r>
      <w:r>
        <w:rPr>
          <w:rFonts w:ascii="Times New Roman" w:hAnsi="Times New Roman" w:eastAsia="Times New Roman" w:cs="Times New Roman"/>
          <w:highlight w:val="yellow"/>
          <w:lang w:eastAsia="ru-RU"/>
        </w:rPr>
        <w:t xml:space="preserve">подведения итогов</w:t>
      </w:r>
      <w:r>
        <w:rPr>
          <w:rFonts w:ascii="Times New Roman" w:hAnsi="Times New Roman" w:eastAsia="Times New Roman" w:cs="Times New Roman"/>
          <w:lang w:eastAsia="ru-RU"/>
        </w:rPr>
        <w:t xml:space="preserve">, на основании которого Поставщик признан победителем закупочной процедуры. Оригинал предварительно согласованной Покупателем независимой гарантии должен быть представлен Поставщиком Покупателю не позднее 1 (одно</w:t>
      </w:r>
      <w:r>
        <w:rPr>
          <w:rFonts w:ascii="Times New Roman" w:hAnsi="Times New Roman" w:eastAsia="Times New Roman" w:cs="Times New Roman"/>
          <w:lang w:eastAsia="ru-RU"/>
        </w:rPr>
        <w:t xml:space="preserve">го) рабочего дня до даты заключения Договора.</w:t>
      </w:r>
      <w:r>
        <w:rPr>
          <w:rFonts w:ascii="Times New Roman" w:hAnsi="Times New Roman" w:eastAsia="Times New Roman" w:cs="Times New Roman"/>
          <w:lang w:eastAsia="ru-RU"/>
        </w:rPr>
      </w:r>
    </w:p>
    <w:p>
      <w:pPr>
        <w:contextualSpacing/>
        <w:ind w:firstLine="709"/>
        <w:jc w:val="both"/>
        <w:spacing w:after="0" w:line="240" w:lineRule="auto"/>
        <w:widowControl w:val="off"/>
        <w:rPr>
          <w:rFonts w:ascii="Times New Roman" w:hAnsi="Times New Roman" w:eastAsia="Times New Roman" w:cs="Times New Roman"/>
          <w:b/>
          <w:i/>
          <w:lang w:eastAsia="ru-RU"/>
        </w:rPr>
      </w:pPr>
      <w:r>
        <w:rPr>
          <w:rFonts w:ascii="Times New Roman" w:hAnsi="Times New Roman" w:eastAsia="Times New Roman" w:cs="Times New Roman"/>
          <w:lang w:eastAsia="ru-RU"/>
        </w:rPr>
        <w:t xml:space="preserve">По соглашению Сторон сумма обеспечения по единой независимой гарантии, включающей обеспечение обязательств по возврату авансовых платежей, может быть уменьшена пропорционально стоимости Товара, в отношении кото</w:t>
      </w:r>
      <w:r>
        <w:rPr>
          <w:rFonts w:ascii="Times New Roman" w:hAnsi="Times New Roman" w:eastAsia="Times New Roman" w:cs="Times New Roman"/>
          <w:lang w:eastAsia="ru-RU"/>
        </w:rPr>
        <w:t xml:space="preserve">рого оформлены Документы о приемке </w:t>
      </w:r>
      <w:r>
        <w:rPr>
          <w:rFonts w:ascii="Times New Roman" w:hAnsi="Times New Roman" w:eastAsia="Times New Roman" w:cs="Times New Roman"/>
          <w:highlight w:val="yellow"/>
          <w:lang w:eastAsia="ru-RU"/>
        </w:rPr>
        <w:t xml:space="preserve">Товара/</w:t>
      </w:r>
      <w:r>
        <w:rPr>
          <w:rFonts w:ascii="Times New Roman" w:hAnsi="Times New Roman" w:eastAsia="Times New Roman" w:cs="Times New Roman"/>
          <w:i/>
          <w:highlight w:val="yellow"/>
          <w:lang w:eastAsia="ru-RU"/>
        </w:rPr>
        <w:t xml:space="preserve"> акты оказания дополнительных услуг (в случае наличия соответствующих услуг в предмете Договора)</w:t>
      </w:r>
      <w:r>
        <w:rPr>
          <w:rFonts w:ascii="Times New Roman" w:hAnsi="Times New Roman" w:eastAsia="Times New Roman" w:cs="Times New Roman"/>
          <w:highlight w:val="yellow"/>
          <w:lang w:eastAsia="ru-RU"/>
        </w:rPr>
        <w:t xml:space="preserve">.</w:t>
      </w:r>
      <w:r>
        <w:rPr>
          <w:rFonts w:ascii="Times New Roman" w:hAnsi="Times New Roman" w:eastAsia="Times New Roman" w:cs="Times New Roman"/>
          <w:lang w:eastAsia="ru-RU"/>
        </w:rPr>
        <w:t xml:space="preserve"> В этом случае сумма единой независимой гарантии должна быть не менее суммы непогашенного (неотработанного) аванса, но в любом случае не менее 5 % (пяти процентов) от начальной (максимальной) цены Договора (цены лота) и не менее 5 % (пяти процентов) от цен</w:t>
      </w:r>
      <w:r>
        <w:rPr>
          <w:rFonts w:ascii="Times New Roman" w:hAnsi="Times New Roman" w:eastAsia="Times New Roman" w:cs="Times New Roman"/>
          <w:lang w:eastAsia="ru-RU"/>
        </w:rPr>
        <w:t xml:space="preserve">ы Договора в случае, если цена Договора в редакции дополнительных соглашений превысила начальную (максимальную) цену Договора (цену лота).</w:t>
      </w:r>
      <w:r>
        <w:rPr>
          <w:rFonts w:ascii="Times New Roman" w:hAnsi="Times New Roman" w:eastAsia="Times New Roman" w:cs="Times New Roman"/>
          <w:b/>
          <w:i/>
          <w:lang w:eastAsia="ru-RU"/>
        </w:rPr>
      </w:r>
    </w:p>
    <w:p>
      <w:pPr>
        <w:numPr>
          <w:ilvl w:val="0"/>
          <w:numId w:val="58"/>
        </w:numPr>
        <w:contextualSpacing/>
        <w:ind w:left="0" w:firstLine="709"/>
        <w:jc w:val="both"/>
        <w:spacing w:after="0" w:line="240" w:lineRule="auto"/>
        <w:widowControl w:val="off"/>
        <w:tabs>
          <w:tab w:val="left" w:pos="993" w:leader="none"/>
        </w:tabs>
        <w:rPr>
          <w:rFonts w:ascii="Times New Roman" w:hAnsi="Times New Roman" w:eastAsia="Times New Roman" w:cs="Times New Roman"/>
          <w:b/>
          <w:i/>
          <w:highlight w:val="yellow"/>
          <w:lang w:eastAsia="ru-RU"/>
        </w:rPr>
      </w:pPr>
      <w:r>
        <w:rPr>
          <w:rFonts w:ascii="Times New Roman" w:hAnsi="Times New Roman" w:eastAsia="Times New Roman" w:cs="Times New Roman"/>
          <w:b/>
          <w:i/>
          <w:highlight w:val="yellow"/>
          <w:lang w:eastAsia="ru-RU"/>
        </w:rPr>
        <w:t xml:space="preserve">(вариант для применения в рамках договоров, заключаемых по результатам конкурентной закупки,</w:t>
      </w:r>
      <w:r>
        <w:rPr>
          <w:rFonts w:ascii="Times New Roman" w:hAnsi="Times New Roman" w:eastAsia="Times New Roman" w:cs="Times New Roman"/>
          <w:b/>
          <w:i/>
          <w:highlight w:val="yellow"/>
          <w:lang w:eastAsia="ru-RU"/>
        </w:rPr>
        <w:br/>
        <w:t xml:space="preserve">не предусматривающей уча</w:t>
      </w:r>
      <w:r>
        <w:rPr>
          <w:rFonts w:ascii="Times New Roman" w:hAnsi="Times New Roman" w:eastAsia="Times New Roman" w:cs="Times New Roman"/>
          <w:b/>
          <w:i/>
          <w:highlight w:val="yellow"/>
          <w:lang w:eastAsia="ru-RU"/>
        </w:rPr>
        <w:t xml:space="preserve">стие только субъектов МСП)</w:t>
      </w:r>
      <w:r>
        <w:rPr>
          <w:rFonts w:ascii="Times New Roman" w:hAnsi="Times New Roman" w:eastAsia="Times New Roman" w:cs="Times New Roman"/>
          <w:b/>
          <w:i/>
          <w:highlight w:val="yellow"/>
          <w:lang w:eastAsia="ru-RU"/>
        </w:rPr>
      </w:r>
    </w:p>
    <w:p>
      <w:pPr>
        <w:contextualSpacing/>
        <w:ind w:firstLine="709"/>
        <w:jc w:val="both"/>
        <w:spacing w:after="0" w:line="240" w:lineRule="auto"/>
        <w:widowControl w:val="off"/>
        <w:rPr>
          <w:rFonts w:ascii="Times New Roman" w:hAnsi="Times New Roman" w:eastAsia="Times New Roman" w:cs="Times New Roman"/>
          <w:highlight w:val="yellow"/>
          <w:lang w:eastAsia="ru-RU"/>
        </w:rPr>
      </w:pPr>
      <w:r>
        <w:rPr>
          <w:rFonts w:ascii="Times New Roman" w:hAnsi="Times New Roman" w:eastAsia="Times New Roman" w:cs="Times New Roman"/>
          <w:highlight w:val="yellow"/>
          <w:lang w:eastAsia="ru-RU"/>
        </w:rPr>
        <w:t xml:space="preserve">Если во исполнение обязательств по Договору предоставляется несколько гарантий, выданных одним гарантом, то суммой гарантии для целей определения требований к гарантам, установленных организационно-распорядительными документами </w:t>
      </w:r>
      <w:r>
        <w:rPr>
          <w:rFonts w:ascii="Times New Roman" w:hAnsi="Times New Roman" w:eastAsia="Times New Roman" w:cs="Times New Roman"/>
          <w:highlight w:val="yellow"/>
          <w:lang w:eastAsia="ru-RU"/>
        </w:rPr>
        <w:br/>
      </w:r>
      <w:r>
        <w:rPr>
          <w:rFonts w:ascii="Times New Roman" w:hAnsi="Times New Roman" w:eastAsia="Times New Roman" w:cs="Times New Roman"/>
          <w:highlight w:val="yellow"/>
          <w:lang w:eastAsia="ru-RU"/>
        </w:rPr>
        <w:t xml:space="preserve">Покупателя, является общая сумма обязательств по таким гарантиям.</w:t>
      </w:r>
      <w:r>
        <w:rPr>
          <w:rFonts w:ascii="Times New Roman" w:hAnsi="Times New Roman" w:eastAsia="Times New Roman" w:cs="Times New Roman"/>
          <w:highlight w:val="yellow"/>
          <w:lang w:eastAsia="ru-RU"/>
        </w:rPr>
      </w:r>
    </w:p>
    <w:p>
      <w:pPr>
        <w:contextualSpacing/>
        <w:ind w:firstLine="709"/>
        <w:jc w:val="both"/>
        <w:spacing w:after="0" w:line="240" w:lineRule="auto"/>
        <w:widowControl w:val="off"/>
        <w:rPr>
          <w:rFonts w:ascii="Times New Roman" w:hAnsi="Times New Roman" w:eastAsia="Times New Roman" w:cs="Times New Roman"/>
          <w:b/>
          <w:i/>
          <w:highlight w:val="yellow"/>
          <w:lang w:eastAsia="ru-RU"/>
        </w:rPr>
      </w:pPr>
      <w:r>
        <w:rPr>
          <w:rFonts w:ascii="Times New Roman" w:hAnsi="Times New Roman" w:eastAsia="Times New Roman" w:cs="Times New Roman"/>
          <w:b/>
          <w:i/>
          <w:highlight w:val="yellow"/>
          <w:lang w:eastAsia="ru-RU"/>
        </w:rPr>
        <w:t xml:space="preserve">(</w:t>
      </w:r>
      <w:r>
        <w:rPr>
          <w:rFonts w:ascii="Times New Roman" w:hAnsi="Times New Roman" w:cs="Times New Roman"/>
          <w:b/>
          <w:i/>
          <w:iCs/>
          <w:highlight w:val="yellow"/>
        </w:rPr>
        <w:t xml:space="preserve">вариант для применения в рамках договоров, заключаемых по результатам конкурентной закупки, участниками которой могут быть только субъекты МСП</w:t>
      </w:r>
      <w:r>
        <w:rPr>
          <w:rFonts w:ascii="Times New Roman" w:hAnsi="Times New Roman" w:eastAsia="Times New Roman" w:cs="Times New Roman"/>
          <w:b/>
          <w:i/>
          <w:highlight w:val="yellow"/>
          <w:lang w:eastAsia="ru-RU"/>
        </w:rPr>
        <w:t xml:space="preserve">)</w:t>
      </w:r>
      <w:r>
        <w:rPr>
          <w:rFonts w:ascii="Times New Roman" w:hAnsi="Times New Roman" w:eastAsia="Times New Roman" w:cs="Times New Roman"/>
          <w:b/>
          <w:i/>
          <w:highlight w:val="yellow"/>
          <w:lang w:eastAsia="ru-RU"/>
        </w:rPr>
      </w:r>
    </w:p>
    <w:p>
      <w:pPr>
        <w:contextualSpacing/>
        <w:ind w:firstLine="709"/>
        <w:jc w:val="both"/>
        <w:spacing w:after="0" w:line="240" w:lineRule="auto"/>
        <w:widowControl w:val="off"/>
        <w:rPr>
          <w:rFonts w:ascii="Times New Roman" w:hAnsi="Times New Roman" w:eastAsia="Times New Roman" w:cs="Times New Roman"/>
          <w:lang w:eastAsia="ru-RU"/>
        </w:rPr>
      </w:pPr>
      <w:r>
        <w:rPr>
          <w:rFonts w:ascii="Times New Roman" w:hAnsi="Times New Roman" w:eastAsia="Times New Roman" w:cs="Times New Roman"/>
          <w:highlight w:val="yellow"/>
          <w:lang w:eastAsia="ru-RU"/>
        </w:rPr>
        <w:t xml:space="preserve">Размер действующего обеспечения исполнения По</w:t>
      </w:r>
      <w:r>
        <w:rPr>
          <w:rFonts w:ascii="Times New Roman" w:hAnsi="Times New Roman" w:eastAsia="Times New Roman" w:cs="Times New Roman"/>
          <w:highlight w:val="yellow"/>
          <w:lang w:eastAsia="ru-RU"/>
        </w:rPr>
        <w:t xml:space="preserve">ставщиком обязательств по Договору в любой момент действия Договора не должен превышать ограничения, установленные постановлением Правительства Российской Федерации от 11.12.2014 № 1352.</w:t>
      </w:r>
      <w:r>
        <w:rPr>
          <w:rFonts w:ascii="Times New Roman" w:hAnsi="Times New Roman" w:eastAsia="Times New Roman" w:cs="Times New Roman"/>
          <w:lang w:eastAsia="ru-RU"/>
        </w:rPr>
      </w:r>
    </w:p>
    <w:p>
      <w:pPr>
        <w:numPr>
          <w:ilvl w:val="0"/>
          <w:numId w:val="58"/>
        </w:numPr>
        <w:contextualSpacing/>
        <w:ind w:left="0" w:firstLine="709"/>
        <w:jc w:val="both"/>
        <w:spacing w:after="0" w:line="240" w:lineRule="auto"/>
        <w:widowControl w:val="off"/>
        <w:tabs>
          <w:tab w:val="left" w:pos="993" w:leader="none"/>
        </w:tabs>
        <w:rPr>
          <w:rFonts w:ascii="Times New Roman" w:hAnsi="Times New Roman" w:eastAsia="Times New Roman" w:cs="Times New Roman"/>
          <w:lang w:eastAsia="ru-RU"/>
        </w:rPr>
      </w:pPr>
      <w:r>
        <w:rPr>
          <w:rFonts w:ascii="Times New Roman" w:hAnsi="Times New Roman" w:eastAsia="Times New Roman" w:cs="Times New Roman"/>
          <w:lang w:eastAsia="ru-RU"/>
        </w:rPr>
        <w:t xml:space="preserve">В случае заключения дополнительного соглашения к Договору, по котором</w:t>
      </w:r>
      <w:r>
        <w:rPr>
          <w:rFonts w:ascii="Times New Roman" w:hAnsi="Times New Roman" w:eastAsia="Times New Roman" w:cs="Times New Roman"/>
          <w:lang w:eastAsia="ru-RU"/>
        </w:rPr>
        <w:t xml:space="preserve">у произойдет увеличение цены или увеличение планируемого срока подписания Документа о приемке </w:t>
      </w:r>
      <w:r>
        <w:rPr>
          <w:rFonts w:ascii="Times New Roman" w:hAnsi="Times New Roman" w:eastAsia="Times New Roman" w:cs="Times New Roman"/>
          <w:highlight w:val="yellow"/>
          <w:lang w:eastAsia="ru-RU"/>
        </w:rPr>
        <w:t xml:space="preserve">Товара/</w:t>
      </w:r>
      <w:r>
        <w:rPr>
          <w:rFonts w:ascii="Times New Roman" w:hAnsi="Times New Roman" w:eastAsia="Times New Roman" w:cs="Times New Roman"/>
          <w:i/>
          <w:highlight w:val="yellow"/>
          <w:lang w:eastAsia="ru-RU"/>
        </w:rPr>
        <w:t xml:space="preserve"> актов оказания дополнительных услуг (в случае наличия соответствующих услуг в предмете Договора)</w:t>
      </w:r>
      <w:r>
        <w:rPr>
          <w:rFonts w:ascii="Times New Roman" w:hAnsi="Times New Roman" w:eastAsia="Times New Roman" w:cs="Times New Roman"/>
          <w:bCs/>
          <w:lang w:eastAsia="ru-RU"/>
        </w:rPr>
        <w:t xml:space="preserve">,</w:t>
      </w:r>
      <w:r>
        <w:rPr>
          <w:rFonts w:ascii="Times New Roman" w:hAnsi="Times New Roman" w:eastAsia="Times New Roman" w:cs="Times New Roman"/>
          <w:lang w:eastAsia="ru-RU"/>
        </w:rPr>
        <w:t xml:space="preserve"> Поставщик обязан в сроки, установленные п. 8 настоящего </w:t>
      </w:r>
      <w:r>
        <w:rPr>
          <w:rFonts w:ascii="Times New Roman" w:hAnsi="Times New Roman" w:eastAsia="Times New Roman" w:cs="Times New Roman"/>
          <w:lang w:eastAsia="ru-RU"/>
        </w:rPr>
        <w:t xml:space="preserve">приложения, представить на согласование Покупателю копию независимой гарантии/ </w:t>
      </w:r>
      <w:r>
        <w:rPr>
          <w:rFonts w:ascii="Times New Roman" w:hAnsi="Times New Roman" w:eastAsia="Times New Roman" w:cs="Times New Roman"/>
          <w:highlight w:val="yellow"/>
          <w:lang w:eastAsia="ru-RU"/>
        </w:rPr>
        <w:t xml:space="preserve">изменение к действующей независимой гарантии</w:t>
      </w:r>
      <w:r>
        <w:rPr>
          <w:rFonts w:ascii="Times New Roman" w:hAnsi="Times New Roman" w:eastAsia="Times New Roman" w:cs="Times New Roman"/>
          <w:lang w:eastAsia="ru-RU"/>
        </w:rPr>
        <w:t xml:space="preserve">. Оригинал независимой гарантии/ </w:t>
      </w:r>
      <w:r>
        <w:rPr>
          <w:rFonts w:ascii="Times New Roman" w:hAnsi="Times New Roman" w:eastAsia="Times New Roman" w:cs="Times New Roman"/>
          <w:highlight w:val="yellow"/>
          <w:lang w:eastAsia="ru-RU"/>
        </w:rPr>
        <w:t xml:space="preserve">изменения к действующей независимой гарантии</w:t>
      </w:r>
      <w:r>
        <w:rPr>
          <w:rFonts w:ascii="Times New Roman" w:hAnsi="Times New Roman" w:eastAsia="Times New Roman" w:cs="Times New Roman"/>
          <w:lang w:eastAsia="ru-RU"/>
        </w:rPr>
        <w:t xml:space="preserve">, согласованной/ </w:t>
      </w:r>
      <w:r>
        <w:rPr>
          <w:rFonts w:ascii="Times New Roman" w:hAnsi="Times New Roman" w:eastAsia="Times New Roman" w:cs="Times New Roman"/>
          <w:highlight w:val="yellow"/>
          <w:lang w:eastAsia="ru-RU"/>
        </w:rPr>
        <w:t xml:space="preserve">согласованного</w:t>
      </w:r>
      <w:r>
        <w:rPr>
          <w:rFonts w:ascii="Times New Roman" w:hAnsi="Times New Roman" w:eastAsia="Times New Roman" w:cs="Times New Roman"/>
          <w:lang w:eastAsia="ru-RU"/>
        </w:rPr>
        <w:t xml:space="preserve"> Покупателем, должен быть</w:t>
      </w:r>
      <w:r>
        <w:rPr>
          <w:rFonts w:ascii="Times New Roman" w:hAnsi="Times New Roman" w:eastAsia="Times New Roman" w:cs="Times New Roman"/>
          <w:lang w:eastAsia="ru-RU"/>
        </w:rPr>
        <w:t xml:space="preserve"> представлен не позднее чем за 1 (один) рабочий день до даты заключения дополнительного соглашения. Срок действия для независимой гарантии на возврат авансовых платежей и/или независимой гарантии на исполнение Поставщиком обязательств по Договору должен на</w:t>
      </w:r>
      <w:r>
        <w:rPr>
          <w:rFonts w:ascii="Times New Roman" w:hAnsi="Times New Roman" w:eastAsia="Times New Roman" w:cs="Times New Roman"/>
          <w:lang w:eastAsia="ru-RU"/>
        </w:rPr>
        <w:t xml:space="preserve">чинаться не позднее даты подписания дополнительного соглашения и заканчиваться не ранее чем через 60 (шестьдесят) дней после новой даты подписания последнего Документа о приемке Товара/</w:t>
      </w:r>
      <w:r>
        <w:rPr>
          <w:rFonts w:ascii="Times New Roman" w:hAnsi="Times New Roman" w:eastAsia="Times New Roman" w:cs="Times New Roman"/>
          <w:i/>
          <w:lang w:eastAsia="ru-RU"/>
        </w:rPr>
        <w:t xml:space="preserve">актов оказания дополнительных услуг (в случае наличия соответствующих у</w:t>
      </w:r>
      <w:r>
        <w:rPr>
          <w:rFonts w:ascii="Times New Roman" w:hAnsi="Times New Roman" w:eastAsia="Times New Roman" w:cs="Times New Roman"/>
          <w:i/>
          <w:lang w:eastAsia="ru-RU"/>
        </w:rPr>
        <w:t xml:space="preserve">слуг в предмете Договора)</w:t>
      </w:r>
      <w:r>
        <w:rPr>
          <w:rFonts w:ascii="Times New Roman" w:hAnsi="Times New Roman" w:eastAsia="Times New Roman" w:cs="Times New Roman"/>
          <w:lang w:eastAsia="ru-RU"/>
        </w:rPr>
        <w:t xml:space="preserve">. Срок действия для единой независимой гарантии должен начинаться не позднее даты подписания дополнительного соглашения и заканчиваться не ранее чем через 60 (шестьдесят) дней после новой даты окончания гарантийного срока, </w:t>
      </w:r>
      <w:r>
        <w:rPr>
          <w:rFonts w:ascii="Times New Roman" w:hAnsi="Times New Roman" w:eastAsia="Times New Roman" w:cs="Times New Roman"/>
          <w:highlight w:val="yellow"/>
          <w:lang w:eastAsia="ru-RU"/>
        </w:rPr>
        <w:t xml:space="preserve">если нез</w:t>
      </w:r>
      <w:r>
        <w:rPr>
          <w:rFonts w:ascii="Times New Roman" w:hAnsi="Times New Roman" w:eastAsia="Times New Roman" w:cs="Times New Roman"/>
          <w:highlight w:val="yellow"/>
          <w:lang w:eastAsia="ru-RU"/>
        </w:rPr>
        <w:t xml:space="preserve">ависимая гарантия выдана в обеспечение в том числе гарантийных обязательств по Договору. Срок действия для независимой гарантии на обеспечение гарантийных обязательств должен начинаться не позднее даты подписания дополнительного соглашения и заканчиваться </w:t>
      </w:r>
      <w:r>
        <w:rPr>
          <w:rFonts w:ascii="Times New Roman" w:hAnsi="Times New Roman" w:eastAsia="Times New Roman" w:cs="Times New Roman"/>
          <w:highlight w:val="yellow"/>
          <w:lang w:eastAsia="ru-RU"/>
        </w:rPr>
        <w:t xml:space="preserve">не ранее чем через 60 (шестьдесят) дней после новой даты окончания гарантийного срока.</w:t>
      </w:r>
      <w:r>
        <w:rPr>
          <w:rFonts w:ascii="Times New Roman" w:hAnsi="Times New Roman" w:eastAsia="Times New Roman" w:cs="Times New Roman"/>
          <w:lang w:eastAsia="ru-RU"/>
        </w:rPr>
        <w:t xml:space="preserve"> </w:t>
      </w:r>
      <w:r>
        <w:rPr>
          <w:rFonts w:ascii="Times New Roman" w:hAnsi="Times New Roman" w:eastAsia="Times New Roman" w:cs="Times New Roman"/>
          <w:lang w:eastAsia="ru-RU"/>
        </w:rPr>
      </w:r>
    </w:p>
    <w:p>
      <w:pPr>
        <w:contextualSpacing/>
        <w:ind w:left="709"/>
        <w:jc w:val="both"/>
        <w:spacing w:after="0" w:line="240" w:lineRule="auto"/>
        <w:widowControl w:val="off"/>
        <w:tabs>
          <w:tab w:val="left" w:pos="993" w:leader="none"/>
        </w:tabs>
        <w:rPr>
          <w:rFonts w:ascii="Times New Roman" w:hAnsi="Times New Roman" w:eastAsia="Times New Roman" w:cs="Times New Roman"/>
          <w:lang w:eastAsia="ru-RU"/>
        </w:rPr>
      </w:pPr>
      <w:r>
        <w:rPr>
          <w:rFonts w:ascii="Times New Roman" w:hAnsi="Times New Roman" w:eastAsia="Times New Roman" w:cs="Times New Roman"/>
          <w:lang w:eastAsia="ru-RU"/>
        </w:rPr>
        <w:t xml:space="preserve">При этом:</w:t>
      </w:r>
      <w:r>
        <w:rPr>
          <w:rFonts w:ascii="Times New Roman" w:hAnsi="Times New Roman" w:eastAsia="Times New Roman" w:cs="Times New Roman"/>
          <w:lang w:eastAsia="ru-RU"/>
        </w:rPr>
      </w:r>
    </w:p>
    <w:p>
      <w:pPr>
        <w:contextualSpacing/>
        <w:ind w:firstLine="709"/>
        <w:jc w:val="both"/>
        <w:spacing w:after="0" w:line="240" w:lineRule="auto"/>
        <w:widowControl w:val="off"/>
        <w:rPr>
          <w:rFonts w:ascii="Times New Roman" w:hAnsi="Times New Roman" w:eastAsia="Times New Roman" w:cs="Times New Roman"/>
          <w:lang w:eastAsia="ru-RU"/>
        </w:rPr>
      </w:pPr>
      <w:r>
        <w:rPr>
          <w:rFonts w:ascii="Times New Roman" w:hAnsi="Times New Roman" w:eastAsia="Times New Roman" w:cs="Times New Roman"/>
          <w:lang w:eastAsia="ru-RU"/>
        </w:rPr>
        <w:t xml:space="preserve">- размер независимой гарантии на возврат Поставщиком авансовых платежей определяется не менее суммы авансовых платежей, предусмотренных Договором в редакции д</w:t>
      </w:r>
      <w:r>
        <w:rPr>
          <w:rFonts w:ascii="Times New Roman" w:hAnsi="Times New Roman" w:eastAsia="Times New Roman" w:cs="Times New Roman"/>
          <w:lang w:eastAsia="ru-RU"/>
        </w:rPr>
        <w:t xml:space="preserve">ополнительного соглашения, с учетом ранее зачтенных авансов;</w:t>
      </w:r>
      <w:r>
        <w:rPr>
          <w:rFonts w:ascii="Times New Roman" w:hAnsi="Times New Roman" w:eastAsia="Times New Roman" w:cs="Times New Roman"/>
          <w:lang w:eastAsia="ru-RU"/>
        </w:rPr>
      </w:r>
    </w:p>
    <w:p>
      <w:pPr>
        <w:contextualSpacing/>
        <w:ind w:firstLine="709"/>
        <w:jc w:val="both"/>
        <w:spacing w:after="0" w:line="240" w:lineRule="auto"/>
        <w:widowControl w:val="off"/>
        <w:rPr>
          <w:rFonts w:ascii="Times New Roman" w:hAnsi="Times New Roman" w:eastAsia="Times New Roman" w:cs="Times New Roman"/>
          <w:lang w:eastAsia="ru-RU"/>
        </w:rPr>
      </w:pPr>
      <w:r>
        <w:rPr>
          <w:rFonts w:ascii="Times New Roman" w:hAnsi="Times New Roman" w:eastAsia="Times New Roman" w:cs="Times New Roman"/>
          <w:lang w:eastAsia="ru-RU"/>
        </w:rPr>
        <w:t xml:space="preserve">- размер независимой гарантии на исполнение Поставщиком обязательств по Договору определяется как максимальная из сумм: 5% (пять процентов) от начальной (максимальной) цены Договора (цены лота) и</w:t>
      </w:r>
      <w:r>
        <w:rPr>
          <w:rFonts w:ascii="Times New Roman" w:hAnsi="Times New Roman" w:eastAsia="Times New Roman" w:cs="Times New Roman"/>
          <w:lang w:eastAsia="ru-RU"/>
        </w:rPr>
        <w:t xml:space="preserve">ли 5% (пять процентов) от цены Договора в редакции Дополнительного соглашения, </w:t>
      </w:r>
      <w:r>
        <w:rPr>
          <w:rFonts w:ascii="Times New Roman" w:hAnsi="Times New Roman" w:eastAsia="Times New Roman" w:cs="Times New Roman"/>
          <w:i/>
          <w:highlight w:val="yellow"/>
          <w:lang w:eastAsia="ru-RU"/>
        </w:rPr>
        <w:t xml:space="preserve">в случае если цена Договора в редакции дополнительных соглашений превысила начальную (максимальную) цену Договора (цену лота)</w:t>
      </w:r>
      <w:r>
        <w:rPr>
          <w:rFonts w:ascii="Times New Roman" w:hAnsi="Times New Roman" w:eastAsia="Times New Roman" w:cs="Times New Roman"/>
          <w:highlight w:val="yellow"/>
          <w:lang w:eastAsia="ru-RU"/>
        </w:rPr>
        <w:t xml:space="preserve">;</w:t>
      </w:r>
      <w:r>
        <w:rPr>
          <w:rFonts w:ascii="Times New Roman" w:hAnsi="Times New Roman" w:eastAsia="Times New Roman" w:cs="Times New Roman"/>
          <w:lang w:eastAsia="ru-RU"/>
        </w:rPr>
      </w:r>
    </w:p>
    <w:p>
      <w:pPr>
        <w:contextualSpacing/>
        <w:ind w:firstLine="709"/>
        <w:jc w:val="both"/>
        <w:spacing w:after="0" w:line="240" w:lineRule="auto"/>
        <w:widowControl w:val="off"/>
        <w:rPr>
          <w:rFonts w:ascii="Times New Roman" w:hAnsi="Times New Roman" w:eastAsia="Times New Roman" w:cs="Times New Roman"/>
          <w:lang w:eastAsia="ru-RU"/>
        </w:rPr>
      </w:pPr>
      <w:r>
        <w:rPr>
          <w:rFonts w:ascii="Times New Roman" w:hAnsi="Times New Roman" w:eastAsia="Times New Roman" w:cs="Times New Roman"/>
          <w:lang w:eastAsia="ru-RU"/>
        </w:rPr>
        <w:t xml:space="preserve">- размер независимой гарантии </w:t>
      </w:r>
      <w:r>
        <w:rPr>
          <w:rFonts w:ascii="Times New Roman" w:hAnsi="Times New Roman" w:eastAsia="Times New Roman" w:cs="Times New Roman"/>
          <w:highlight w:val="yellow"/>
          <w:lang w:eastAsia="ru-RU"/>
        </w:rPr>
        <w:t xml:space="preserve">обеспечения</w:t>
      </w:r>
      <w:r>
        <w:rPr>
          <w:rFonts w:ascii="Times New Roman" w:hAnsi="Times New Roman" w:eastAsia="Times New Roman" w:cs="Times New Roman"/>
          <w:lang w:eastAsia="ru-RU"/>
        </w:rPr>
        <w:t xml:space="preserve"> гарантий</w:t>
      </w:r>
      <w:r>
        <w:rPr>
          <w:rFonts w:ascii="Times New Roman" w:hAnsi="Times New Roman" w:eastAsia="Times New Roman" w:cs="Times New Roman"/>
          <w:lang w:eastAsia="ru-RU"/>
        </w:rPr>
        <w:t xml:space="preserve">ных обязательств определяется не менее 5% (пяти процентов) от цены Договора в редакции Дополнительного соглашения;</w:t>
      </w:r>
      <w:r>
        <w:rPr>
          <w:rFonts w:ascii="Times New Roman" w:hAnsi="Times New Roman" w:eastAsia="Times New Roman" w:cs="Times New Roman"/>
          <w:lang w:eastAsia="ru-RU"/>
        </w:rPr>
      </w:r>
    </w:p>
    <w:p>
      <w:pPr>
        <w:contextualSpacing/>
        <w:ind w:firstLine="709"/>
        <w:jc w:val="both"/>
        <w:spacing w:after="0" w:line="240" w:lineRule="auto"/>
        <w:widowControl w:val="off"/>
        <w:rPr>
          <w:rFonts w:ascii="Times New Roman" w:hAnsi="Times New Roman" w:eastAsia="Times New Roman" w:cs="Times New Roman"/>
          <w:lang w:eastAsia="ru-RU"/>
        </w:rPr>
      </w:pPr>
      <w:r>
        <w:rPr>
          <w:rFonts w:ascii="Times New Roman" w:hAnsi="Times New Roman" w:eastAsia="Times New Roman" w:cs="Times New Roman"/>
          <w:lang w:eastAsia="ru-RU"/>
        </w:rPr>
        <w:t xml:space="preserve">- размер единой независимой гарантии (включающей обеспечение обязательств по возврату авансовых платежей, обеспечение исполнения обязательств по договору и обеспечение гарантийных обязательств) определяется как максимальная из сумм: 5% (пять процентов) от </w:t>
      </w:r>
      <w:r>
        <w:rPr>
          <w:rFonts w:ascii="Times New Roman" w:hAnsi="Times New Roman" w:eastAsia="Times New Roman" w:cs="Times New Roman"/>
          <w:lang w:eastAsia="ru-RU"/>
        </w:rPr>
        <w:t xml:space="preserve">начальной (максимальной) цены Договора (цены лота) или 5% (пять процентов) от цены Договора в редакции Дополнительного соглашения или суммы непогашенного (неотработанного) авансового платежа.</w:t>
      </w:r>
      <w:r>
        <w:rPr>
          <w:rFonts w:ascii="Times New Roman" w:hAnsi="Times New Roman" w:eastAsia="Times New Roman" w:cs="Times New Roman"/>
          <w:lang w:eastAsia="ru-RU"/>
        </w:rPr>
      </w:r>
    </w:p>
    <w:p>
      <w:pPr>
        <w:ind w:firstLine="709"/>
        <w:jc w:val="both"/>
        <w:spacing w:after="0" w:line="240" w:lineRule="auto"/>
        <w:rPr>
          <w:rFonts w:ascii="Times New Roman" w:hAnsi="Times New Roman" w:cs="Times New Roman"/>
          <w:i/>
          <w:highlight w:val="yellow"/>
        </w:rPr>
      </w:pPr>
      <w:r>
        <w:rPr>
          <w:rFonts w:ascii="Times New Roman" w:hAnsi="Times New Roman" w:cs="Times New Roman"/>
          <w:highlight w:val="yellow"/>
        </w:rPr>
        <w:t xml:space="preserve">4. (</w:t>
      </w:r>
      <w:r>
        <w:rPr>
          <w:rFonts w:ascii="Times New Roman" w:hAnsi="Times New Roman" w:cs="Times New Roman"/>
          <w:i/>
          <w:iCs/>
          <w:highlight w:val="yellow"/>
        </w:rPr>
        <w:t xml:space="preserve">вариант для применения в рамках договоров, заключаемых по результатам конкурентной закупки, участниками которой могут быть только субъекты МСП).</w:t>
      </w:r>
      <w:r>
        <w:rPr>
          <w:rFonts w:ascii="Times New Roman" w:hAnsi="Times New Roman" w:cs="Times New Roman"/>
          <w:i/>
          <w:highlight w:val="yellow"/>
        </w:rPr>
      </w:r>
    </w:p>
    <w:p>
      <w:pPr>
        <w:contextualSpacing/>
        <w:ind w:firstLine="709"/>
        <w:jc w:val="both"/>
        <w:spacing w:after="0" w:line="240" w:lineRule="auto"/>
        <w:widowControl w:val="off"/>
        <w:rPr>
          <w:rFonts w:ascii="Times New Roman" w:hAnsi="Times New Roman" w:eastAsia="Times New Roman" w:cs="Times New Roman"/>
          <w:highlight w:val="yellow"/>
          <w:lang w:eastAsia="ru-RU"/>
        </w:rPr>
      </w:pPr>
      <w:r>
        <w:rPr>
          <w:rFonts w:ascii="Times New Roman" w:hAnsi="Times New Roman" w:eastAsia="Times New Roman" w:cs="Times New Roman"/>
          <w:highlight w:val="yellow"/>
          <w:lang w:eastAsia="ru-RU"/>
        </w:rPr>
        <w:t xml:space="preserve">В случае заключения дополнительного соглашения к Договору, по которому произойдет увеличение цены или увеличени</w:t>
      </w:r>
      <w:r>
        <w:rPr>
          <w:rFonts w:ascii="Times New Roman" w:hAnsi="Times New Roman" w:eastAsia="Times New Roman" w:cs="Times New Roman"/>
          <w:highlight w:val="yellow"/>
          <w:lang w:eastAsia="ru-RU"/>
        </w:rPr>
        <w:t xml:space="preserve">е планируемого срока подписания Документа о приемке Товара/</w:t>
      </w:r>
      <w:r>
        <w:rPr>
          <w:rFonts w:ascii="Times New Roman" w:hAnsi="Times New Roman" w:eastAsia="Times New Roman" w:cs="Times New Roman"/>
          <w:i/>
          <w:highlight w:val="yellow"/>
          <w:lang w:eastAsia="ru-RU"/>
        </w:rPr>
        <w:t xml:space="preserve">актов оказания дополнительных услуг (в случае наличия соответствующих услуг в предмете Договора)</w:t>
      </w:r>
      <w:r>
        <w:rPr>
          <w:rFonts w:ascii="Times New Roman" w:hAnsi="Times New Roman" w:eastAsia="Times New Roman" w:cs="Times New Roman"/>
          <w:bCs/>
          <w:highlight w:val="yellow"/>
          <w:lang w:eastAsia="ru-RU"/>
        </w:rPr>
        <w:t xml:space="preserve">,</w:t>
      </w:r>
      <w:r>
        <w:rPr>
          <w:rFonts w:ascii="Times New Roman" w:hAnsi="Times New Roman" w:eastAsia="Times New Roman" w:cs="Times New Roman"/>
          <w:highlight w:val="yellow"/>
          <w:lang w:eastAsia="ru-RU"/>
        </w:rPr>
        <w:t xml:space="preserve"> Поставщик обязан в сроки, установленные п. 8 настоящего приложения, представить на согласование Пок</w:t>
      </w:r>
      <w:r>
        <w:rPr>
          <w:rFonts w:ascii="Times New Roman" w:hAnsi="Times New Roman" w:eastAsia="Times New Roman" w:cs="Times New Roman"/>
          <w:highlight w:val="yellow"/>
          <w:lang w:eastAsia="ru-RU"/>
        </w:rPr>
        <w:t xml:space="preserve">упателю копию независимой гарантии/ изменение к действующей независимой гарантии. Оригинал независимой гарантии изменения к действующей независимой гарантии, согласованной/ согласованного Покупателем, должен быть представлен не позднее чем за 1 (один) рабо</w:t>
      </w:r>
      <w:r>
        <w:rPr>
          <w:rFonts w:ascii="Times New Roman" w:hAnsi="Times New Roman" w:eastAsia="Times New Roman" w:cs="Times New Roman"/>
          <w:highlight w:val="yellow"/>
          <w:lang w:eastAsia="ru-RU"/>
        </w:rPr>
        <w:t xml:space="preserve">чий день до даты заключения дополнительного соглашения. Срок действия для независимой гарантии на исполнение обязательств по Договору должен начинаться не позднее даты подписания дополнительного соглашения и заканчиваться не ранее чем через 60 (шестьдесят)</w:t>
      </w:r>
      <w:r>
        <w:rPr>
          <w:rFonts w:ascii="Times New Roman" w:hAnsi="Times New Roman" w:eastAsia="Times New Roman" w:cs="Times New Roman"/>
          <w:highlight w:val="yellow"/>
          <w:lang w:eastAsia="ru-RU"/>
        </w:rPr>
        <w:t xml:space="preserve"> дней после новой даты подписания последнего Документа о приемке Товара/</w:t>
      </w:r>
      <w:r>
        <w:rPr>
          <w:rFonts w:ascii="Times New Roman" w:hAnsi="Times New Roman" w:eastAsia="Times New Roman" w:cs="Times New Roman"/>
          <w:i/>
          <w:highlight w:val="yellow"/>
          <w:lang w:eastAsia="ru-RU"/>
        </w:rPr>
        <w:t xml:space="preserve">актов оказания дополнительных услуг (в случае наличия соответствующих услуг в предмете Договора)</w:t>
      </w:r>
      <w:r>
        <w:rPr>
          <w:rFonts w:ascii="Times New Roman" w:hAnsi="Times New Roman" w:eastAsia="Times New Roman" w:cs="Times New Roman"/>
          <w:highlight w:val="yellow"/>
          <w:lang w:eastAsia="ru-RU"/>
        </w:rPr>
        <w:t xml:space="preserve">. Срок действия для независимой гарантии обеспечения гарантийных обязательств должен нач</w:t>
      </w:r>
      <w:r>
        <w:rPr>
          <w:rFonts w:ascii="Times New Roman" w:hAnsi="Times New Roman" w:eastAsia="Times New Roman" w:cs="Times New Roman"/>
          <w:highlight w:val="yellow"/>
          <w:lang w:eastAsia="ru-RU"/>
        </w:rPr>
        <w:t xml:space="preserve">инаться не позднее даты подписания дополнительного соглашения и заканчиваться не ранее чем через 60 (шестьдесят) дней после новой даты окончания гарантийного срока. </w:t>
      </w:r>
      <w:r>
        <w:rPr>
          <w:rFonts w:ascii="Times New Roman" w:hAnsi="Times New Roman" w:eastAsia="Times New Roman" w:cs="Times New Roman"/>
          <w:highlight w:val="yellow"/>
          <w:lang w:eastAsia="ru-RU"/>
        </w:rPr>
      </w:r>
    </w:p>
    <w:p>
      <w:pPr>
        <w:contextualSpacing/>
        <w:ind w:firstLine="709"/>
        <w:jc w:val="both"/>
        <w:spacing w:after="0" w:line="240" w:lineRule="auto"/>
        <w:widowControl w:val="off"/>
        <w:rPr>
          <w:rFonts w:ascii="Times New Roman" w:hAnsi="Times New Roman" w:eastAsia="Times New Roman" w:cs="Times New Roman"/>
          <w:highlight w:val="yellow"/>
          <w:lang w:eastAsia="ru-RU"/>
        </w:rPr>
      </w:pPr>
      <w:r>
        <w:rPr>
          <w:rFonts w:ascii="Times New Roman" w:hAnsi="Times New Roman" w:eastAsia="Times New Roman" w:cs="Times New Roman"/>
          <w:highlight w:val="yellow"/>
          <w:lang w:eastAsia="ru-RU"/>
        </w:rPr>
        <w:t xml:space="preserve">При этом:</w:t>
      </w:r>
      <w:r>
        <w:rPr>
          <w:rFonts w:ascii="Times New Roman" w:hAnsi="Times New Roman" w:eastAsia="Times New Roman" w:cs="Times New Roman"/>
          <w:highlight w:val="yellow"/>
          <w:lang w:eastAsia="ru-RU"/>
        </w:rPr>
      </w:r>
    </w:p>
    <w:p>
      <w:pPr>
        <w:contextualSpacing/>
        <w:ind w:firstLine="709"/>
        <w:jc w:val="both"/>
        <w:spacing w:after="0" w:line="240" w:lineRule="auto"/>
        <w:widowControl w:val="off"/>
        <w:rPr>
          <w:rFonts w:ascii="Times New Roman" w:hAnsi="Times New Roman" w:eastAsia="Times New Roman" w:cs="Times New Roman"/>
          <w:i/>
          <w:highlight w:val="yellow"/>
          <w:lang w:eastAsia="ru-RU"/>
        </w:rPr>
      </w:pPr>
      <w:r>
        <w:rPr>
          <w:rFonts w:ascii="Times New Roman" w:hAnsi="Times New Roman" w:eastAsia="Times New Roman" w:cs="Times New Roman"/>
          <w:highlight w:val="yellow"/>
          <w:lang w:eastAsia="ru-RU"/>
        </w:rPr>
        <w:t xml:space="preserve">- размер независимой гарантии на исполнение Поставщиком обязательств по Договору</w:t>
      </w:r>
      <w:r>
        <w:rPr>
          <w:rFonts w:ascii="Times New Roman" w:hAnsi="Times New Roman" w:eastAsia="Times New Roman" w:cs="Times New Roman"/>
          <w:highlight w:val="yellow"/>
          <w:lang w:eastAsia="ru-RU"/>
        </w:rPr>
        <w:t xml:space="preserve"> определяется </w:t>
      </w:r>
      <w:r>
        <w:rPr>
          <w:rFonts w:ascii="Times New Roman" w:hAnsi="Times New Roman" w:eastAsia="Times New Roman" w:cs="Times New Roman"/>
          <w:i/>
          <w:highlight w:val="yellow"/>
          <w:lang w:eastAsia="ru-RU"/>
        </w:rPr>
        <w:t xml:space="preserve">как 5% (пять процентов) от начальной (максимальной) цены Договора (цены лота), но не менее 5% (пяти процентов) от цены Договора в редакции Дополнительного соглашения* </w:t>
      </w:r>
      <w:r>
        <w:rPr>
          <w:rFonts w:ascii="Times New Roman" w:hAnsi="Times New Roman" w:eastAsia="Times New Roman" w:cs="Times New Roman"/>
          <w:b/>
          <w:i/>
          <w:highlight w:val="yellow"/>
          <w:lang w:eastAsia="ru-RU"/>
        </w:rPr>
        <w:t xml:space="preserve">(включается в текст договора, если независимая гарантия выдана только во ис</w:t>
      </w:r>
      <w:r>
        <w:rPr>
          <w:rFonts w:ascii="Times New Roman" w:hAnsi="Times New Roman" w:eastAsia="Times New Roman" w:cs="Times New Roman"/>
          <w:b/>
          <w:i/>
          <w:highlight w:val="yellow"/>
          <w:lang w:eastAsia="ru-RU"/>
        </w:rPr>
        <w:t xml:space="preserve">полнение обязательств Поставщиком по Договору)</w:t>
      </w:r>
      <w:r>
        <w:rPr>
          <w:rFonts w:ascii="Times New Roman" w:hAnsi="Times New Roman" w:eastAsia="Times New Roman" w:cs="Times New Roman"/>
          <w:i/>
          <w:highlight w:val="yellow"/>
          <w:lang w:eastAsia="ru-RU"/>
        </w:rPr>
        <w:t xml:space="preserve">; </w:t>
      </w:r>
      <w:r>
        <w:rPr>
          <w:rFonts w:ascii="Times New Roman" w:hAnsi="Times New Roman" w:eastAsia="Times New Roman" w:cs="Times New Roman"/>
          <w:highlight w:val="yellow"/>
          <w:lang w:eastAsia="ru-RU"/>
        </w:rPr>
        <w:t xml:space="preserve"> </w:t>
      </w:r>
      <w:r>
        <w:rPr>
          <w:rFonts w:ascii="Times New Roman" w:hAnsi="Times New Roman" w:eastAsia="Times New Roman" w:cs="Times New Roman"/>
          <w:i/>
          <w:highlight w:val="yellow"/>
          <w:lang w:eastAsia="ru-RU"/>
        </w:rPr>
        <w:t xml:space="preserve">в размере аванса (неотработанного аванса)* (</w:t>
      </w:r>
      <w:r>
        <w:rPr>
          <w:rFonts w:ascii="Times New Roman" w:hAnsi="Times New Roman" w:eastAsia="Times New Roman" w:cs="Times New Roman"/>
          <w:b/>
          <w:i/>
          <w:highlight w:val="yellow"/>
          <w:lang w:eastAsia="ru-RU"/>
        </w:rPr>
        <w:t xml:space="preserve">включается в текст договора, если независимая гарантия выдана только во исполнение обязательств Поставщика по возврату авансовых платежей)</w:t>
      </w:r>
      <w:r>
        <w:rPr>
          <w:rFonts w:ascii="Times New Roman" w:hAnsi="Times New Roman" w:eastAsia="Times New Roman" w:cs="Times New Roman"/>
          <w:i/>
          <w:highlight w:val="yellow"/>
          <w:lang w:eastAsia="ru-RU"/>
        </w:rPr>
        <w:t xml:space="preserve">; как максимальная из сум</w:t>
      </w:r>
      <w:r>
        <w:rPr>
          <w:rFonts w:ascii="Times New Roman" w:hAnsi="Times New Roman" w:eastAsia="Times New Roman" w:cs="Times New Roman"/>
          <w:i/>
          <w:highlight w:val="yellow"/>
          <w:lang w:eastAsia="ru-RU"/>
        </w:rPr>
        <w:t xml:space="preserve">м: 5% (пять процентов) от начальной (максимальной) цены Договора (цены лота) или 5% (пять процентов) от цены Договора в редакции Дополнительного соглашения или суммы непогашенного (неотработанного) аванса* (</w:t>
      </w:r>
      <w:r>
        <w:rPr>
          <w:rFonts w:ascii="Times New Roman" w:hAnsi="Times New Roman" w:eastAsia="Times New Roman" w:cs="Times New Roman"/>
          <w:b/>
          <w:i/>
          <w:highlight w:val="yellow"/>
          <w:lang w:eastAsia="ru-RU"/>
        </w:rPr>
        <w:t xml:space="preserve">включается в текст договора, если независимая гар</w:t>
      </w:r>
      <w:r>
        <w:rPr>
          <w:rFonts w:ascii="Times New Roman" w:hAnsi="Times New Roman" w:eastAsia="Times New Roman" w:cs="Times New Roman"/>
          <w:b/>
          <w:i/>
          <w:highlight w:val="yellow"/>
          <w:lang w:eastAsia="ru-RU"/>
        </w:rPr>
        <w:t xml:space="preserve">антия выдана по исполнение обязательств Поставщиком по Договору, включая обязательства по возврату авансовых платежей)</w:t>
      </w:r>
      <w:r>
        <w:rPr>
          <w:rFonts w:ascii="Times New Roman" w:hAnsi="Times New Roman" w:eastAsia="Times New Roman" w:cs="Times New Roman"/>
          <w:i/>
          <w:highlight w:val="yellow"/>
          <w:lang w:eastAsia="ru-RU"/>
        </w:rPr>
        <w:t xml:space="preserve">;</w:t>
      </w:r>
      <w:r>
        <w:rPr>
          <w:rFonts w:ascii="Times New Roman" w:hAnsi="Times New Roman" w:eastAsia="Times New Roman" w:cs="Times New Roman"/>
          <w:i/>
          <w:highlight w:val="yellow"/>
          <w:lang w:eastAsia="ru-RU"/>
        </w:rPr>
      </w:r>
    </w:p>
    <w:p>
      <w:pPr>
        <w:contextualSpacing/>
        <w:ind w:firstLine="709"/>
        <w:jc w:val="both"/>
        <w:spacing w:after="0" w:line="240" w:lineRule="auto"/>
        <w:widowControl w:val="off"/>
        <w:rPr>
          <w:rFonts w:ascii="Times New Roman" w:hAnsi="Times New Roman" w:eastAsia="Times New Roman" w:cs="Times New Roman"/>
          <w:highlight w:val="yellow"/>
          <w:lang w:eastAsia="ru-RU"/>
        </w:rPr>
      </w:pPr>
      <w:r>
        <w:rPr>
          <w:rFonts w:ascii="Times New Roman" w:hAnsi="Times New Roman" w:eastAsia="Times New Roman" w:cs="Times New Roman"/>
          <w:i/>
          <w:highlight w:val="yellow"/>
          <w:lang w:eastAsia="ru-RU"/>
        </w:rPr>
        <w:t xml:space="preserve">- размер независимой гарантии обеспечения гарантийных обязательств определяется не менее 5% (пяти процентов) от цены Договора в редакции</w:t>
      </w:r>
      <w:r>
        <w:rPr>
          <w:rFonts w:ascii="Times New Roman" w:hAnsi="Times New Roman" w:eastAsia="Times New Roman" w:cs="Times New Roman"/>
          <w:i/>
          <w:highlight w:val="yellow"/>
          <w:lang w:eastAsia="ru-RU"/>
        </w:rPr>
        <w:t xml:space="preserve"> Дополнительного соглашения.</w:t>
      </w:r>
      <w:r>
        <w:rPr>
          <w:rFonts w:ascii="Times New Roman" w:hAnsi="Times New Roman" w:eastAsia="Times New Roman" w:cs="Times New Roman"/>
          <w:highlight w:val="yellow"/>
          <w:lang w:eastAsia="ru-RU"/>
        </w:rPr>
      </w:r>
    </w:p>
    <w:p>
      <w:pPr>
        <w:contextualSpacing/>
        <w:ind w:firstLine="709"/>
        <w:jc w:val="both"/>
        <w:spacing w:after="0" w:line="240" w:lineRule="auto"/>
        <w:widowControl w:val="off"/>
        <w:rPr>
          <w:rFonts w:ascii="Times New Roman" w:hAnsi="Times New Roman" w:eastAsia="Times New Roman" w:cs="Times New Roman"/>
          <w:lang w:eastAsia="ru-RU"/>
        </w:rPr>
      </w:pPr>
      <w:r>
        <w:rPr>
          <w:rFonts w:ascii="Times New Roman" w:hAnsi="Times New Roman" w:eastAsia="Times New Roman" w:cs="Times New Roman"/>
          <w:b/>
          <w:i/>
          <w:lang w:eastAsia="ru-RU"/>
        </w:rPr>
        <w:t xml:space="preserve">*Примечание: пункт 4 приложения подлежит корректировке с учетом положений пункта 2 приложения.</w:t>
      </w:r>
      <w:r>
        <w:rPr>
          <w:rFonts w:ascii="Times New Roman" w:hAnsi="Times New Roman" w:eastAsia="Times New Roman" w:cs="Times New Roman"/>
          <w:lang w:eastAsia="ru-RU"/>
        </w:rPr>
      </w:r>
    </w:p>
    <w:p>
      <w:pPr>
        <w:numPr>
          <w:ilvl w:val="0"/>
          <w:numId w:val="58"/>
        </w:numPr>
        <w:contextualSpacing/>
        <w:ind w:left="0" w:firstLine="709"/>
        <w:jc w:val="both"/>
        <w:spacing w:after="0" w:line="240" w:lineRule="auto"/>
        <w:widowControl w:val="off"/>
        <w:tabs>
          <w:tab w:val="left" w:pos="993" w:leader="none"/>
        </w:tabs>
        <w:rPr>
          <w:rFonts w:ascii="Times New Roman" w:hAnsi="Times New Roman" w:eastAsia="Times New Roman" w:cs="Times New Roman"/>
          <w:lang w:eastAsia="ru-RU"/>
        </w:rPr>
      </w:pPr>
      <w:r>
        <w:rPr>
          <w:rFonts w:ascii="Times New Roman" w:hAnsi="Times New Roman" w:eastAsia="Times New Roman" w:cs="Times New Roman"/>
          <w:lang w:eastAsia="ru-RU"/>
        </w:rPr>
        <w:t xml:space="preserve">Гарант, предоставляющий независимую гарантию, а также сама независимая гарантия должны быть предварительно согласованы с Покупателем</w:t>
      </w:r>
      <w:r>
        <w:rPr>
          <w:rFonts w:ascii="Times New Roman" w:hAnsi="Times New Roman" w:eastAsia="Times New Roman" w:cs="Times New Roman"/>
          <w:lang w:eastAsia="ru-RU"/>
        </w:rPr>
        <w:t xml:space="preserve">. Для согласования Покупателем независимой гарантии Поставщик обязан представить копию независимой гарантии, а также следующие документы </w:t>
      </w:r>
      <w:r>
        <w:rPr>
          <w:rFonts w:ascii="Times New Roman" w:hAnsi="Times New Roman" w:eastAsia="Times New Roman" w:cs="Times New Roman"/>
          <w:highlight w:val="yellow"/>
          <w:lang w:eastAsia="ru-RU"/>
        </w:rPr>
        <w:t xml:space="preserve">(допускается предоставление документации на бумажном носителе либо в виде электронного документа в соответствии с требо</w:t>
      </w:r>
      <w:r>
        <w:rPr>
          <w:rFonts w:ascii="Times New Roman" w:hAnsi="Times New Roman" w:eastAsia="Times New Roman" w:cs="Times New Roman"/>
          <w:highlight w:val="yellow"/>
          <w:lang w:eastAsia="ru-RU"/>
        </w:rPr>
        <w:t xml:space="preserve">ваниями Федерального закона «Об электронной подписи» от 06.04.2011 № 63-ФЗ)</w:t>
      </w:r>
      <w:r>
        <w:rPr>
          <w:rFonts w:ascii="Times New Roman" w:hAnsi="Times New Roman" w:eastAsia="Times New Roman" w:cs="Times New Roman"/>
          <w:lang w:eastAsia="ru-RU"/>
        </w:rPr>
        <w:t xml:space="preserve">:</w:t>
      </w:r>
      <w:r>
        <w:rPr>
          <w:rFonts w:ascii="Times New Roman" w:hAnsi="Times New Roman" w:eastAsia="Times New Roman" w:cs="Times New Roman"/>
          <w:lang w:eastAsia="ru-RU"/>
        </w:rPr>
      </w:r>
    </w:p>
    <w:p>
      <w:pPr>
        <w:ind w:left="709"/>
        <w:jc w:val="both"/>
        <w:spacing w:after="0" w:line="240" w:lineRule="auto"/>
        <w:widowControl w:val="off"/>
        <w:tabs>
          <w:tab w:val="left" w:pos="1680" w:leader="none"/>
        </w:tabs>
        <w:rPr>
          <w:rFonts w:ascii="Times New Roman" w:hAnsi="Times New Roman" w:eastAsia="Arial Unicode MS" w:cs="Times New Roman"/>
          <w:bCs/>
          <w:color w:val="000000"/>
          <w:lang w:eastAsia="ru-RU"/>
        </w:rPr>
        <w:pBdr>
          <w:top w:val="none" w:color="000000" w:sz="4" w:space="0"/>
          <w:left w:val="none" w:color="000000" w:sz="4" w:space="0"/>
          <w:bottom w:val="none" w:color="000000" w:sz="4" w:space="0"/>
          <w:right w:val="none" w:color="000000" w:sz="4" w:space="0"/>
          <w:between w:val="none" w:color="000000" w:sz="4" w:space="0"/>
        </w:pBdr>
      </w:pPr>
      <w:r>
        <w:rPr>
          <w:rFonts w:ascii="Times New Roman" w:hAnsi="Times New Roman" w:eastAsia="Arial Unicode MS" w:cs="Times New Roman"/>
          <w:bCs/>
          <w:color w:val="000000"/>
          <w:lang w:eastAsia="ru-RU"/>
        </w:rPr>
        <w:t xml:space="preserve">5.1. Если сумма независимой гарантии</w:t>
      </w:r>
      <w:r>
        <w:rPr>
          <w:rFonts w:ascii="Times New Roman" w:hAnsi="Times New Roman" w:eastAsia="Calibri" w:cs="Times New Roman"/>
          <w:bCs/>
          <w:color w:val="000000"/>
          <w:vertAlign w:val="superscript"/>
          <w:lang w:eastAsia="ru-RU"/>
        </w:rPr>
        <w:footnoteReference w:id="13"/>
      </w:r>
      <w:r>
        <w:rPr>
          <w:rFonts w:ascii="Times New Roman" w:hAnsi="Times New Roman" w:eastAsia="Arial Unicode MS" w:cs="Times New Roman"/>
          <w:bCs/>
          <w:color w:val="000000"/>
          <w:lang w:eastAsia="ru-RU"/>
        </w:rPr>
        <w:t xml:space="preserve"> превышает 15 млн. рублей:</w:t>
      </w:r>
      <w:r>
        <w:rPr>
          <w:rFonts w:ascii="Times New Roman" w:hAnsi="Times New Roman" w:eastAsia="Arial Unicode MS" w:cs="Times New Roman"/>
          <w:bCs/>
          <w:color w:val="000000"/>
          <w:lang w:eastAsia="ru-RU"/>
        </w:rPr>
      </w:r>
    </w:p>
    <w:p>
      <w:pPr>
        <w:ind w:firstLine="709"/>
        <w:jc w:val="both"/>
        <w:spacing w:after="0" w:line="240" w:lineRule="auto"/>
        <w:widowControl w:val="off"/>
        <w:tabs>
          <w:tab w:val="left" w:pos="1680" w:leader="none"/>
        </w:tabs>
        <w:rPr>
          <w:rFonts w:ascii="Times New Roman" w:hAnsi="Times New Roman" w:eastAsia="Arial Unicode MS" w:cs="Times New Roman"/>
          <w:bCs/>
          <w:color w:val="000000"/>
          <w:lang w:eastAsia="ru-RU"/>
        </w:rPr>
        <w:pBdr>
          <w:top w:val="none" w:color="000000" w:sz="4" w:space="0"/>
          <w:left w:val="none" w:color="000000" w:sz="4" w:space="0"/>
          <w:bottom w:val="none" w:color="000000" w:sz="4" w:space="0"/>
          <w:right w:val="none" w:color="000000" w:sz="4" w:space="0"/>
          <w:between w:val="none" w:color="000000" w:sz="4" w:space="0"/>
        </w:pBdr>
      </w:pPr>
      <w:r>
        <w:rPr>
          <w:rFonts w:ascii="Times New Roman" w:hAnsi="Times New Roman" w:eastAsia="Arial Unicode MS" w:cs="Times New Roman"/>
          <w:bCs/>
          <w:color w:val="000000"/>
          <w:lang w:eastAsia="ru-RU"/>
        </w:rPr>
        <w:t xml:space="preserve">5.1.1. Лицензия на осуществление банковской деятельности, действующая на дату выдачи независимой гарантии (копия, заверенная банком-гарантом либо нотариально заверенная копия).</w:t>
      </w:r>
      <w:r>
        <w:rPr>
          <w:rFonts w:ascii="Times New Roman" w:hAnsi="Times New Roman" w:eastAsia="Arial Unicode MS" w:cs="Times New Roman"/>
          <w:bCs/>
          <w:color w:val="000000"/>
          <w:vertAlign w:val="superscript"/>
          <w:lang w:eastAsia="ru-RU"/>
        </w:rPr>
        <w:footnoteReference w:id="14"/>
      </w:r>
      <w:r>
        <w:rPr>
          <w:rFonts w:ascii="Times New Roman" w:hAnsi="Times New Roman" w:eastAsia="Arial Unicode MS" w:cs="Times New Roman"/>
          <w:bCs/>
          <w:color w:val="000000"/>
          <w:lang w:eastAsia="ru-RU"/>
        </w:rPr>
      </w:r>
    </w:p>
    <w:p>
      <w:pPr>
        <w:ind w:firstLine="709"/>
        <w:jc w:val="both"/>
        <w:spacing w:after="0" w:line="240" w:lineRule="auto"/>
        <w:widowControl w:val="off"/>
        <w:tabs>
          <w:tab w:val="left" w:pos="1680" w:leader="none"/>
        </w:tabs>
        <w:rPr>
          <w:rFonts w:ascii="Times New Roman" w:hAnsi="Times New Roman" w:eastAsia="Arial Unicode MS" w:cs="Times New Roman"/>
          <w:bCs/>
          <w:color w:val="000000"/>
          <w:lang w:eastAsia="ru-RU"/>
        </w:rPr>
        <w:pBdr>
          <w:top w:val="none" w:color="000000" w:sz="4" w:space="0"/>
          <w:left w:val="none" w:color="000000" w:sz="4" w:space="0"/>
          <w:bottom w:val="none" w:color="000000" w:sz="4" w:space="0"/>
          <w:right w:val="none" w:color="000000" w:sz="4" w:space="0"/>
          <w:between w:val="none" w:color="000000" w:sz="4" w:space="0"/>
        </w:pBdr>
      </w:pPr>
      <w:r>
        <w:rPr>
          <w:rFonts w:ascii="Times New Roman" w:hAnsi="Times New Roman" w:eastAsia="Arial Unicode MS" w:cs="Times New Roman"/>
          <w:bCs/>
          <w:color w:val="000000"/>
          <w:lang w:eastAsia="ru-RU"/>
        </w:rPr>
        <w:t xml:space="preserve">5.1.2. Документы, удостоверяющие право лица, подписавшего гарантию, подписыват</w:t>
      </w:r>
      <w:r>
        <w:rPr>
          <w:rFonts w:ascii="Times New Roman" w:hAnsi="Times New Roman" w:eastAsia="Arial Unicode MS" w:cs="Times New Roman"/>
          <w:bCs/>
          <w:color w:val="000000"/>
          <w:lang w:eastAsia="ru-RU"/>
        </w:rPr>
        <w:t xml:space="preserve">ь независимые гарантии от лица Гаранта (включая, но не ограничиваясь):</w:t>
      </w:r>
      <w:r>
        <w:rPr>
          <w:rFonts w:ascii="Times New Roman" w:hAnsi="Times New Roman" w:eastAsia="Arial Unicode MS" w:cs="Times New Roman"/>
          <w:bCs/>
          <w:color w:val="000000"/>
          <w:lang w:eastAsia="ru-RU"/>
        </w:rPr>
      </w:r>
    </w:p>
    <w:p>
      <w:pPr>
        <w:numPr>
          <w:ilvl w:val="4"/>
          <w:numId w:val="56"/>
        </w:numPr>
        <w:ind w:left="0" w:firstLine="709"/>
        <w:jc w:val="both"/>
        <w:spacing w:after="0" w:line="240" w:lineRule="auto"/>
        <w:widowControl w:val="off"/>
        <w:tabs>
          <w:tab w:val="num" w:pos="1080" w:leader="none"/>
          <w:tab w:val="num" w:pos="1648" w:leader="none"/>
          <w:tab w:val="left" w:pos="1985" w:leader="none"/>
        </w:tabs>
        <w:rPr>
          <w:rFonts w:ascii="Times New Roman" w:hAnsi="Times New Roman" w:eastAsia="Arial Unicode MS" w:cs="Times New Roman"/>
          <w:bCs/>
          <w:color w:val="000000"/>
          <w:lang w:eastAsia="ru-RU"/>
        </w:rPr>
      </w:pPr>
      <w:r>
        <w:rPr>
          <w:rFonts w:ascii="Times New Roman" w:hAnsi="Times New Roman" w:eastAsia="Arial Unicode MS" w:cs="Times New Roman"/>
          <w:bCs/>
          <w:color w:val="000000"/>
          <w:lang w:eastAsia="ru-RU"/>
        </w:rPr>
        <w:t xml:space="preserve">Устав со всеми изменениями и дополнениями, зарегистрированными в установленном порядке на дату выдачи независимой гарантии (нотариально заверенная копия);</w:t>
      </w:r>
      <w:r>
        <w:rPr>
          <w:rFonts w:ascii="Times New Roman" w:hAnsi="Times New Roman" w:eastAsia="Arial Unicode MS" w:cs="Times New Roman"/>
          <w:bCs/>
          <w:color w:val="000000"/>
          <w:lang w:eastAsia="ru-RU"/>
        </w:rPr>
      </w:r>
    </w:p>
    <w:p>
      <w:pPr>
        <w:numPr>
          <w:ilvl w:val="4"/>
          <w:numId w:val="56"/>
        </w:numPr>
        <w:ind w:left="0" w:firstLine="709"/>
        <w:jc w:val="both"/>
        <w:spacing w:after="0" w:line="240" w:lineRule="auto"/>
        <w:widowControl w:val="off"/>
        <w:tabs>
          <w:tab w:val="num" w:pos="1080" w:leader="none"/>
          <w:tab w:val="num" w:pos="1648" w:leader="none"/>
        </w:tabs>
        <w:rPr>
          <w:rFonts w:ascii="Times New Roman" w:hAnsi="Times New Roman" w:eastAsia="Arial Unicode MS" w:cs="Times New Roman"/>
          <w:bCs/>
          <w:color w:val="000000"/>
          <w:lang w:eastAsia="ru-RU"/>
        </w:rPr>
      </w:pPr>
      <w:r>
        <w:rPr>
          <w:rFonts w:ascii="Times New Roman" w:hAnsi="Times New Roman" w:eastAsia="Arial Unicode MS" w:cs="Times New Roman"/>
          <w:bCs/>
          <w:color w:val="000000"/>
          <w:lang w:eastAsia="ru-RU"/>
        </w:rPr>
        <w:t xml:space="preserve">Свидетельство о внесении запис</w:t>
      </w:r>
      <w:r>
        <w:rPr>
          <w:rFonts w:ascii="Times New Roman" w:hAnsi="Times New Roman" w:eastAsia="Arial Unicode MS" w:cs="Times New Roman"/>
          <w:bCs/>
          <w:color w:val="000000"/>
          <w:lang w:eastAsia="ru-RU"/>
        </w:rPr>
        <w:t xml:space="preserve">и в ЕГРЮЛ в связи с внесением изменений в Устав (нотариально заверенная копия); </w:t>
      </w:r>
      <w:r>
        <w:rPr>
          <w:rFonts w:ascii="Times New Roman" w:hAnsi="Times New Roman" w:eastAsia="Arial Unicode MS" w:cs="Times New Roman"/>
          <w:bCs/>
          <w:color w:val="000000"/>
          <w:lang w:eastAsia="ru-RU"/>
        </w:rPr>
      </w:r>
    </w:p>
    <w:p>
      <w:pPr>
        <w:numPr>
          <w:ilvl w:val="4"/>
          <w:numId w:val="56"/>
        </w:numPr>
        <w:ind w:left="0" w:firstLine="709"/>
        <w:jc w:val="both"/>
        <w:spacing w:after="0" w:line="240" w:lineRule="auto"/>
        <w:widowControl w:val="off"/>
        <w:tabs>
          <w:tab w:val="num" w:pos="1080" w:leader="none"/>
          <w:tab w:val="num" w:pos="1648" w:leader="none"/>
        </w:tabs>
        <w:rPr>
          <w:rFonts w:ascii="Times New Roman" w:hAnsi="Times New Roman" w:eastAsia="Arial Unicode MS" w:cs="Times New Roman"/>
          <w:bCs/>
          <w:color w:val="000000"/>
          <w:lang w:eastAsia="ru-RU"/>
        </w:rPr>
      </w:pPr>
      <w:r>
        <w:rPr>
          <w:rFonts w:ascii="Times New Roman" w:hAnsi="Times New Roman" w:eastAsia="Arial Unicode MS" w:cs="Times New Roman"/>
          <w:bCs/>
          <w:color w:val="000000"/>
          <w:lang w:eastAsia="ru-RU"/>
        </w:rPr>
        <w:t xml:space="preserve">в случае оформления независимой гарантии обособленными структурными подразделениями Гаранта необходимо представить указанные в учредительных документах Гаранта документы, регл</w:t>
      </w:r>
      <w:r>
        <w:rPr>
          <w:rFonts w:ascii="Times New Roman" w:hAnsi="Times New Roman" w:eastAsia="Arial Unicode MS" w:cs="Times New Roman"/>
          <w:bCs/>
          <w:color w:val="000000"/>
          <w:lang w:eastAsia="ru-RU"/>
        </w:rPr>
        <w:t xml:space="preserve">аментирующие деятельность обособленного структурного подразделения Гаранта (положение о филиале, положение о дополнительном офисе, иные документы);</w:t>
      </w:r>
      <w:r>
        <w:rPr>
          <w:rFonts w:ascii="Times New Roman" w:hAnsi="Times New Roman" w:eastAsia="Arial Unicode MS" w:cs="Times New Roman"/>
          <w:bCs/>
          <w:color w:val="000000"/>
          <w:lang w:eastAsia="ru-RU"/>
        </w:rPr>
      </w:r>
    </w:p>
    <w:p>
      <w:pPr>
        <w:numPr>
          <w:ilvl w:val="4"/>
          <w:numId w:val="56"/>
        </w:numPr>
        <w:ind w:left="0" w:firstLine="709"/>
        <w:jc w:val="both"/>
        <w:spacing w:after="0" w:line="240" w:lineRule="auto"/>
        <w:widowControl w:val="off"/>
        <w:tabs>
          <w:tab w:val="num" w:pos="1080" w:leader="none"/>
          <w:tab w:val="num" w:pos="1648" w:leader="none"/>
        </w:tabs>
        <w:rPr>
          <w:rFonts w:ascii="Times New Roman" w:hAnsi="Times New Roman" w:eastAsia="Arial Unicode MS" w:cs="Times New Roman"/>
          <w:bCs/>
          <w:color w:val="000000"/>
          <w:lang w:eastAsia="ru-RU"/>
        </w:rPr>
      </w:pPr>
      <w:r>
        <w:rPr>
          <w:rFonts w:ascii="Times New Roman" w:hAnsi="Times New Roman" w:eastAsia="Arial Unicode MS" w:cs="Times New Roman"/>
          <w:bCs/>
          <w:color w:val="000000"/>
          <w:lang w:eastAsia="ru-RU"/>
        </w:rPr>
        <w:t xml:space="preserve">решение (выписка из протокола) уполномоченного органа управления Гаранта о назначении (избрании) единоличног</w:t>
      </w:r>
      <w:r>
        <w:rPr>
          <w:rFonts w:ascii="Times New Roman" w:hAnsi="Times New Roman" w:eastAsia="Arial Unicode MS" w:cs="Times New Roman"/>
          <w:bCs/>
          <w:color w:val="000000"/>
          <w:lang w:eastAsia="ru-RU"/>
        </w:rPr>
        <w:t xml:space="preserve">о исполнительного органа Гаранта (копия, заверенная гарантом);</w:t>
      </w:r>
      <w:r>
        <w:rPr>
          <w:rFonts w:ascii="Times New Roman" w:hAnsi="Times New Roman" w:eastAsia="Arial Unicode MS" w:cs="Times New Roman"/>
          <w:bCs/>
          <w:color w:val="000000"/>
          <w:lang w:eastAsia="ru-RU"/>
        </w:rPr>
      </w:r>
    </w:p>
    <w:p>
      <w:pPr>
        <w:numPr>
          <w:ilvl w:val="4"/>
          <w:numId w:val="56"/>
        </w:numPr>
        <w:ind w:left="0" w:firstLine="709"/>
        <w:jc w:val="both"/>
        <w:spacing w:after="0" w:line="240" w:lineRule="auto"/>
        <w:widowControl w:val="off"/>
        <w:tabs>
          <w:tab w:val="num" w:pos="1080" w:leader="none"/>
          <w:tab w:val="num" w:pos="1648" w:leader="none"/>
        </w:tabs>
        <w:rPr>
          <w:rFonts w:ascii="Times New Roman" w:hAnsi="Times New Roman" w:eastAsia="Arial Unicode MS" w:cs="Times New Roman"/>
          <w:bCs/>
          <w:color w:val="000000"/>
          <w:lang w:eastAsia="ru-RU"/>
        </w:rPr>
      </w:pPr>
      <w:r>
        <w:rPr>
          <w:rFonts w:ascii="Times New Roman" w:hAnsi="Times New Roman" w:eastAsia="Arial Unicode MS" w:cs="Times New Roman"/>
          <w:bCs/>
          <w:color w:val="000000"/>
          <w:lang w:eastAsia="ru-RU"/>
        </w:rPr>
        <w:t xml:space="preserve">доверенность на уполномоченное лицо, действующее от имени Гаранта (оригинал/нотариально заверенная копия/копия, заверенная гарантом (в случае если независимая гарантия подписана уполномоченным </w:t>
      </w:r>
      <w:r>
        <w:rPr>
          <w:rFonts w:ascii="Times New Roman" w:hAnsi="Times New Roman" w:eastAsia="Arial Unicode MS" w:cs="Times New Roman"/>
          <w:bCs/>
          <w:color w:val="000000"/>
          <w:lang w:eastAsia="ru-RU"/>
        </w:rPr>
        <w:t xml:space="preserve">лицом, действующим от имени Гаранта на основании доверенности). К доверенности, выданной в порядке передоверия, должна прилагаться доверенность на уполномоченное лицо, выдавшее доверенность в порядке передоверия (оригинал/нотариально заверенная копия/ копи</w:t>
      </w:r>
      <w:r>
        <w:rPr>
          <w:rFonts w:ascii="Times New Roman" w:hAnsi="Times New Roman" w:eastAsia="Arial Unicode MS" w:cs="Times New Roman"/>
          <w:bCs/>
          <w:color w:val="000000"/>
          <w:lang w:eastAsia="ru-RU"/>
        </w:rPr>
        <w:t xml:space="preserve">я, заверенная Гарантом). </w:t>
      </w:r>
      <w:r>
        <w:rPr>
          <w:rFonts w:ascii="Times New Roman" w:hAnsi="Times New Roman" w:eastAsia="Arial Unicode MS" w:cs="Times New Roman"/>
          <w:bCs/>
          <w:color w:val="000000"/>
          <w:lang w:eastAsia="ru-RU"/>
        </w:rPr>
      </w:r>
    </w:p>
    <w:p>
      <w:pPr>
        <w:ind w:firstLine="709"/>
        <w:jc w:val="both"/>
        <w:spacing w:after="0" w:line="240" w:lineRule="auto"/>
        <w:widowControl w:val="off"/>
        <w:rPr>
          <w:rFonts w:ascii="Times New Roman" w:hAnsi="Times New Roman" w:eastAsia="Arial Unicode MS" w:cs="Times New Roman"/>
          <w:bCs/>
          <w:color w:val="000000"/>
          <w:lang w:eastAsia="ru-RU"/>
        </w:rPr>
        <w:pBdr>
          <w:top w:val="none" w:color="000000" w:sz="4" w:space="0"/>
          <w:left w:val="none" w:color="000000" w:sz="4" w:space="0"/>
          <w:bottom w:val="none" w:color="000000" w:sz="4" w:space="0"/>
          <w:right w:val="none" w:color="000000" w:sz="4" w:space="0"/>
          <w:between w:val="none" w:color="000000" w:sz="4" w:space="0"/>
        </w:pBdr>
      </w:pPr>
      <w:r>
        <w:rPr>
          <w:rFonts w:ascii="Times New Roman" w:hAnsi="Times New Roman" w:eastAsia="Arial Unicode MS" w:cs="Times New Roman"/>
          <w:bCs/>
          <w:color w:val="000000"/>
          <w:lang w:eastAsia="ru-RU"/>
        </w:rPr>
        <w:t xml:space="preserve">В случае если в доверенности на право подписания независимой гарантии имеются ограничения (подписание независимой гарантии осуществляется в рамках внутренних нормативных документов Гаранта, решений кредитных комитетов, структурных</w:t>
      </w:r>
      <w:r>
        <w:rPr>
          <w:rFonts w:ascii="Times New Roman" w:hAnsi="Times New Roman" w:eastAsia="Arial Unicode MS" w:cs="Times New Roman"/>
          <w:bCs/>
          <w:color w:val="000000"/>
          <w:lang w:eastAsia="ru-RU"/>
        </w:rPr>
        <w:t xml:space="preserve"> подразделений или должностных лиц Гаранта), необходимо представление всех поименованных в доверенности решений/документов. </w:t>
      </w:r>
      <w:r>
        <w:rPr>
          <w:rFonts w:ascii="Times New Roman" w:hAnsi="Times New Roman" w:eastAsia="Arial Unicode MS" w:cs="Times New Roman"/>
          <w:bCs/>
          <w:color w:val="000000"/>
          <w:lang w:eastAsia="ru-RU"/>
        </w:rPr>
      </w:r>
    </w:p>
    <w:p>
      <w:pPr>
        <w:ind w:firstLine="709"/>
        <w:jc w:val="both"/>
        <w:spacing w:after="0" w:line="240" w:lineRule="auto"/>
        <w:widowControl w:val="off"/>
        <w:rPr>
          <w:rFonts w:ascii="Times New Roman" w:hAnsi="Times New Roman" w:eastAsia="Arial Unicode MS" w:cs="Times New Roman"/>
          <w:bCs/>
          <w:color w:val="000000"/>
          <w:lang w:eastAsia="ru-RU"/>
        </w:rPr>
        <w:pBdr>
          <w:top w:val="none" w:color="000000" w:sz="4" w:space="0"/>
          <w:left w:val="none" w:color="000000" w:sz="4" w:space="0"/>
          <w:bottom w:val="none" w:color="000000" w:sz="4" w:space="0"/>
          <w:right w:val="none" w:color="000000" w:sz="4" w:space="0"/>
          <w:between w:val="none" w:color="000000" w:sz="4" w:space="0"/>
        </w:pBdr>
      </w:pPr>
      <w:r>
        <w:rPr>
          <w:rFonts w:ascii="Times New Roman" w:hAnsi="Times New Roman" w:eastAsia="Arial Unicode MS" w:cs="Times New Roman"/>
          <w:bCs/>
          <w:color w:val="000000"/>
          <w:lang w:eastAsia="ru-RU"/>
        </w:rPr>
        <w:t xml:space="preserve">В случае отказа Гаранта, после письменного запроса Покупателя, от представления документов, указанных в содержании доверенности, По</w:t>
      </w:r>
      <w:r>
        <w:rPr>
          <w:rFonts w:ascii="Times New Roman" w:hAnsi="Times New Roman" w:eastAsia="Arial Unicode MS" w:cs="Times New Roman"/>
          <w:bCs/>
          <w:color w:val="000000"/>
          <w:lang w:eastAsia="ru-RU"/>
        </w:rPr>
        <w:t xml:space="preserve">ставщик предоставляет письмо-подтверждение за подписью уполномоченного лица Гаранта, чьи полномочия не ограничены необходимостью представления дополнительных документов, подтверждающее, что независимая гарантия выдана в соответствии с правилами и требовани</w:t>
      </w:r>
      <w:r>
        <w:rPr>
          <w:rFonts w:ascii="Times New Roman" w:hAnsi="Times New Roman" w:eastAsia="Arial Unicode MS" w:cs="Times New Roman"/>
          <w:bCs/>
          <w:color w:val="000000"/>
          <w:lang w:eastAsia="ru-RU"/>
        </w:rPr>
        <w:t xml:space="preserve">ями, установленными регламентами Гаранта и на основании соответствующих решений уполномоченных органов/должностных лиц Гаранта перечисленным в содержании доверенности, с обязательным указанием реквизитов (дата, номер, наименование органа/должностного лица,</w:t>
      </w:r>
      <w:r>
        <w:rPr>
          <w:rFonts w:ascii="Times New Roman" w:hAnsi="Times New Roman" w:eastAsia="Arial Unicode MS" w:cs="Times New Roman"/>
          <w:bCs/>
          <w:color w:val="000000"/>
          <w:lang w:eastAsia="ru-RU"/>
        </w:rPr>
        <w:t xml:space="preserve"> принявшего решение) документов, подтверждающих факт соблюдения необходимых внутренних процедур Гаранта;</w:t>
      </w:r>
      <w:r>
        <w:rPr>
          <w:rFonts w:ascii="Times New Roman" w:hAnsi="Times New Roman" w:eastAsia="Arial Unicode MS" w:cs="Times New Roman"/>
          <w:bCs/>
          <w:color w:val="000000"/>
          <w:lang w:eastAsia="ru-RU"/>
        </w:rPr>
      </w:r>
    </w:p>
    <w:p>
      <w:pPr>
        <w:numPr>
          <w:ilvl w:val="4"/>
          <w:numId w:val="56"/>
        </w:numPr>
        <w:ind w:left="0" w:firstLine="709"/>
        <w:jc w:val="both"/>
        <w:spacing w:after="0" w:line="240" w:lineRule="auto"/>
        <w:widowControl w:val="off"/>
        <w:tabs>
          <w:tab w:val="num" w:pos="1080" w:leader="none"/>
          <w:tab w:val="num" w:pos="1648" w:leader="none"/>
        </w:tabs>
        <w:rPr>
          <w:rFonts w:ascii="Times New Roman" w:hAnsi="Times New Roman" w:eastAsia="Arial Unicode MS" w:cs="Times New Roman"/>
          <w:bCs/>
          <w:color w:val="000000"/>
          <w:lang w:eastAsia="ru-RU"/>
        </w:rPr>
      </w:pPr>
      <w:r>
        <w:rPr>
          <w:rFonts w:ascii="Times New Roman" w:hAnsi="Times New Roman" w:eastAsia="Arial Unicode MS" w:cs="Times New Roman"/>
          <w:bCs/>
          <w:color w:val="000000"/>
          <w:lang w:eastAsia="ru-RU"/>
        </w:rPr>
        <w:t xml:space="preserve">выписка из Единого г</w:t>
      </w:r>
      <w:r>
        <w:rPr>
          <w:rFonts w:ascii="Times New Roman" w:hAnsi="Times New Roman" w:eastAsia="Arial Unicode MS" w:cs="Times New Roman"/>
          <w:bCs/>
          <w:color w:val="000000"/>
          <w:lang w:eastAsia="ru-RU"/>
        </w:rPr>
        <w:t xml:space="preserve">осударственного реестра юридических лиц (ЕГРЮЛ), выданная регистрирующим органом не ранее, чем за 30 дней до даты выдачи независимой гарантии (оригинал/нотариально заверенная копия), допускается представление выписки с официального сайта Федеральной налого</w:t>
      </w:r>
      <w:r>
        <w:rPr>
          <w:rFonts w:ascii="Times New Roman" w:hAnsi="Times New Roman" w:eastAsia="Arial Unicode MS" w:cs="Times New Roman"/>
          <w:bCs/>
          <w:color w:val="000000"/>
          <w:lang w:eastAsia="ru-RU"/>
        </w:rPr>
        <w:t xml:space="preserve">вой службы </w:t>
      </w:r>
      <w:r>
        <w:rPr>
          <w:rFonts w:ascii="Times New Roman" w:hAnsi="Times New Roman" w:eastAsia="Arial Unicode MS" w:cs="Times New Roman"/>
          <w:bCs/>
          <w:color w:val="000000"/>
          <w:lang w:val="en-US" w:eastAsia="ru-RU"/>
        </w:rPr>
        <w:t xml:space="preserve">https</w:t>
      </w:r>
      <w:r>
        <w:rPr>
          <w:rFonts w:ascii="Times New Roman" w:hAnsi="Times New Roman" w:eastAsia="Arial Unicode MS" w:cs="Times New Roman"/>
          <w:bCs/>
          <w:color w:val="000000"/>
          <w:lang w:eastAsia="ru-RU"/>
        </w:rPr>
        <w:t xml:space="preserve">://</w:t>
      </w:r>
      <w:r>
        <w:rPr>
          <w:rFonts w:ascii="Times New Roman" w:hAnsi="Times New Roman" w:eastAsia="Arial Unicode MS" w:cs="Times New Roman"/>
          <w:bCs/>
          <w:color w:val="000000"/>
          <w:lang w:val="en-US" w:eastAsia="ru-RU"/>
        </w:rPr>
        <w:t xml:space="preserve">egrul</w:t>
      </w:r>
      <w:r>
        <w:rPr>
          <w:rFonts w:ascii="Times New Roman" w:hAnsi="Times New Roman" w:eastAsia="Arial Unicode MS" w:cs="Times New Roman"/>
          <w:bCs/>
          <w:color w:val="000000"/>
          <w:lang w:eastAsia="ru-RU"/>
        </w:rPr>
        <w:t xml:space="preserve">.</w:t>
      </w:r>
      <w:r>
        <w:rPr>
          <w:rFonts w:ascii="Times New Roman" w:hAnsi="Times New Roman" w:eastAsia="Arial Unicode MS" w:cs="Times New Roman"/>
          <w:bCs/>
          <w:color w:val="000000"/>
          <w:lang w:val="en-US" w:eastAsia="ru-RU"/>
        </w:rPr>
        <w:t xml:space="preserve">nalog</w:t>
      </w:r>
      <w:r>
        <w:rPr>
          <w:rFonts w:ascii="Times New Roman" w:hAnsi="Times New Roman" w:eastAsia="Arial Unicode MS" w:cs="Times New Roman"/>
          <w:bCs/>
          <w:color w:val="000000"/>
          <w:lang w:eastAsia="ru-RU"/>
        </w:rPr>
        <w:t xml:space="preserve">/</w:t>
      </w:r>
      <w:r>
        <w:rPr>
          <w:rFonts w:ascii="Times New Roman" w:hAnsi="Times New Roman" w:eastAsia="Arial Unicode MS" w:cs="Times New Roman"/>
          <w:bCs/>
          <w:color w:val="000000"/>
          <w:lang w:val="en-US" w:eastAsia="ru-RU"/>
        </w:rPr>
        <w:t xml:space="preserve">ru</w:t>
      </w:r>
      <w:r>
        <w:rPr>
          <w:rFonts w:ascii="Times New Roman" w:hAnsi="Times New Roman" w:eastAsia="Arial Unicode MS" w:cs="Times New Roman"/>
          <w:bCs/>
          <w:color w:val="000000"/>
          <w:lang w:eastAsia="ru-RU"/>
        </w:rPr>
        <w:t xml:space="preserve">/).</w:t>
      </w:r>
      <w:r>
        <w:rPr>
          <w:rFonts w:ascii="Times New Roman" w:hAnsi="Times New Roman" w:eastAsia="Arial Unicode MS" w:cs="Times New Roman"/>
          <w:bCs/>
          <w:color w:val="000000"/>
          <w:lang w:eastAsia="ru-RU"/>
        </w:rPr>
      </w:r>
    </w:p>
    <w:p>
      <w:pPr>
        <w:ind w:firstLine="720"/>
        <w:jc w:val="both"/>
        <w:spacing w:after="0" w:line="240" w:lineRule="auto"/>
        <w:widowControl w:val="off"/>
        <w:rPr>
          <w:rFonts w:ascii="Times New Roman" w:hAnsi="Times New Roman" w:eastAsia="Arial Unicode MS" w:cs="Times New Roman"/>
          <w:bCs/>
          <w:color w:val="000000"/>
          <w:lang w:eastAsia="ru-RU"/>
        </w:rPr>
        <w:pBdr>
          <w:top w:val="none" w:color="000000" w:sz="4" w:space="0"/>
          <w:left w:val="none" w:color="000000" w:sz="4" w:space="0"/>
          <w:bottom w:val="none" w:color="000000" w:sz="4" w:space="0"/>
          <w:right w:val="none" w:color="000000" w:sz="4" w:space="0"/>
          <w:between w:val="none" w:color="000000" w:sz="4" w:space="0"/>
        </w:pBdr>
      </w:pPr>
      <w:r>
        <w:rPr>
          <w:rFonts w:ascii="Times New Roman" w:hAnsi="Times New Roman" w:eastAsia="Arial Unicode MS" w:cs="Times New Roman"/>
          <w:bCs/>
          <w:color w:val="000000"/>
          <w:lang w:eastAsia="ru-RU"/>
        </w:rPr>
        <w:t xml:space="preserve">5.2.</w:t>
      </w:r>
      <w:r>
        <w:rPr>
          <w:rFonts w:ascii="Times New Roman" w:hAnsi="Times New Roman" w:eastAsia="Arial Unicode MS" w:cs="Times New Roman"/>
          <w:bCs/>
          <w:color w:val="000000"/>
          <w:lang w:eastAsia="ru-RU"/>
        </w:rPr>
        <w:tab/>
        <w:t xml:space="preserve">Если сумма независимой гарантии</w:t>
      </w:r>
      <w:r>
        <w:rPr>
          <w:rFonts w:ascii="Times New Roman" w:hAnsi="Times New Roman" w:eastAsia="Calibri" w:cs="Times New Roman"/>
          <w:bCs/>
          <w:color w:val="000000"/>
          <w:vertAlign w:val="superscript"/>
          <w:lang w:eastAsia="ru-RU"/>
        </w:rPr>
        <w:footnoteReference w:id="15"/>
      </w:r>
      <w:r>
        <w:rPr>
          <w:rFonts w:ascii="Times New Roman" w:hAnsi="Times New Roman" w:eastAsia="Arial Unicode MS" w:cs="Times New Roman"/>
          <w:bCs/>
          <w:color w:val="000000"/>
          <w:lang w:eastAsia="ru-RU"/>
        </w:rPr>
        <w:t xml:space="preserve"> не превышает 15 млн. рублей:</w:t>
      </w:r>
      <w:r>
        <w:rPr>
          <w:rFonts w:ascii="Times New Roman" w:hAnsi="Times New Roman" w:eastAsia="Arial Unicode MS" w:cs="Times New Roman"/>
          <w:bCs/>
          <w:color w:val="000000"/>
          <w:lang w:eastAsia="ru-RU"/>
        </w:rPr>
      </w:r>
    </w:p>
    <w:p>
      <w:pPr>
        <w:ind w:firstLine="720"/>
        <w:jc w:val="both"/>
        <w:spacing w:after="0" w:line="240" w:lineRule="auto"/>
        <w:widowControl w:val="off"/>
        <w:rPr>
          <w:rFonts w:ascii="Times New Roman" w:hAnsi="Times New Roman" w:eastAsia="Arial Unicode MS" w:cs="Times New Roman"/>
          <w:bCs/>
          <w:color w:val="000000"/>
          <w:lang w:eastAsia="ru-RU"/>
        </w:rPr>
        <w:pBdr>
          <w:top w:val="none" w:color="000000" w:sz="4" w:space="0"/>
          <w:left w:val="none" w:color="000000" w:sz="4" w:space="0"/>
          <w:bottom w:val="none" w:color="000000" w:sz="4" w:space="0"/>
          <w:right w:val="none" w:color="000000" w:sz="4" w:space="0"/>
          <w:between w:val="none" w:color="000000" w:sz="4" w:space="0"/>
        </w:pBdr>
      </w:pPr>
      <w:r>
        <w:rPr>
          <w:rFonts w:ascii="Times New Roman" w:hAnsi="Times New Roman" w:eastAsia="Arial Unicode MS" w:cs="Times New Roman"/>
          <w:bCs/>
          <w:color w:val="000000"/>
          <w:lang w:eastAsia="ru-RU"/>
        </w:rPr>
        <w:t xml:space="preserve">- решение (выписка из протокола) уполномоченного органа управления Гаранта о назначении (избрании) единоличного исполнительного органа Гаранта (копия, з</w:t>
      </w:r>
      <w:r>
        <w:rPr>
          <w:rFonts w:ascii="Times New Roman" w:hAnsi="Times New Roman" w:eastAsia="Arial Unicode MS" w:cs="Times New Roman"/>
          <w:bCs/>
          <w:color w:val="000000"/>
          <w:lang w:eastAsia="ru-RU"/>
        </w:rPr>
        <w:t xml:space="preserve">аверенная Гарантом);</w:t>
      </w:r>
      <w:r>
        <w:rPr>
          <w:rFonts w:ascii="Times New Roman" w:hAnsi="Times New Roman" w:eastAsia="Arial Unicode MS" w:cs="Times New Roman"/>
          <w:bCs/>
          <w:color w:val="000000"/>
          <w:lang w:eastAsia="ru-RU"/>
        </w:rPr>
      </w:r>
    </w:p>
    <w:p>
      <w:pPr>
        <w:ind w:firstLine="720"/>
        <w:jc w:val="both"/>
        <w:spacing w:after="0" w:line="240" w:lineRule="auto"/>
        <w:widowControl w:val="off"/>
        <w:rPr>
          <w:rFonts w:ascii="Times New Roman" w:hAnsi="Times New Roman" w:eastAsia="Arial Unicode MS" w:cs="Times New Roman"/>
          <w:bCs/>
          <w:color w:val="000000"/>
          <w:lang w:eastAsia="ru-RU"/>
        </w:rPr>
        <w:pBdr>
          <w:top w:val="none" w:color="000000" w:sz="4" w:space="0"/>
          <w:left w:val="none" w:color="000000" w:sz="4" w:space="0"/>
          <w:bottom w:val="none" w:color="000000" w:sz="4" w:space="0"/>
          <w:right w:val="none" w:color="000000" w:sz="4" w:space="0"/>
          <w:between w:val="none" w:color="000000" w:sz="4" w:space="0"/>
        </w:pBdr>
      </w:pPr>
      <w:r>
        <w:rPr>
          <w:rFonts w:ascii="Times New Roman" w:hAnsi="Times New Roman" w:eastAsia="Arial Unicode MS" w:cs="Times New Roman"/>
          <w:bCs/>
          <w:color w:val="000000"/>
          <w:lang w:eastAsia="ru-RU"/>
        </w:rPr>
        <w:t xml:space="preserve">- доверенность на уполномоченное лицо, действующее от имени Гаранта (оригинал/нотариально заверенная копия/копия, заверенная Гарантом) (в случае если независимая гарантия подписана уполномоченным лицом, действующим от имени Гаранта на </w:t>
      </w:r>
      <w:r>
        <w:rPr>
          <w:rFonts w:ascii="Times New Roman" w:hAnsi="Times New Roman" w:eastAsia="Arial Unicode MS" w:cs="Times New Roman"/>
          <w:bCs/>
          <w:color w:val="000000"/>
          <w:lang w:eastAsia="ru-RU"/>
        </w:rPr>
        <w:t xml:space="preserve">основании доверенности). К доверенности, выданной в порядке передоверия, должна прилагаться доверенность на уполномоченное лицо, выдавшее доверенность в порядке передоверия (оригинал/нотариально заверенная копия/ копия, заверенная Гарантом.) </w:t>
      </w:r>
      <w:r>
        <w:rPr>
          <w:rFonts w:ascii="Times New Roman" w:hAnsi="Times New Roman" w:eastAsia="Arial Unicode MS" w:cs="Times New Roman"/>
          <w:bCs/>
          <w:color w:val="000000"/>
          <w:lang w:eastAsia="ru-RU"/>
        </w:rPr>
      </w:r>
    </w:p>
    <w:p>
      <w:pPr>
        <w:ind w:firstLine="720"/>
        <w:jc w:val="both"/>
        <w:spacing w:after="0" w:line="240" w:lineRule="auto"/>
        <w:widowControl w:val="off"/>
        <w:rPr>
          <w:rFonts w:ascii="Times New Roman" w:hAnsi="Times New Roman" w:eastAsia="Arial Unicode MS" w:cs="Times New Roman"/>
          <w:bCs/>
          <w:color w:val="000000"/>
          <w:lang w:eastAsia="ru-RU"/>
        </w:rPr>
        <w:pBdr>
          <w:top w:val="none" w:color="000000" w:sz="4" w:space="0"/>
          <w:left w:val="none" w:color="000000" w:sz="4" w:space="0"/>
          <w:bottom w:val="none" w:color="000000" w:sz="4" w:space="0"/>
          <w:right w:val="none" w:color="000000" w:sz="4" w:space="0"/>
          <w:between w:val="none" w:color="000000" w:sz="4" w:space="0"/>
        </w:pBdr>
      </w:pPr>
      <w:r>
        <w:rPr>
          <w:rFonts w:ascii="Times New Roman" w:hAnsi="Times New Roman" w:eastAsia="Arial Unicode MS" w:cs="Times New Roman"/>
          <w:bCs/>
          <w:color w:val="000000"/>
          <w:lang w:eastAsia="ru-RU"/>
        </w:rPr>
        <w:t xml:space="preserve">В случае если</w:t>
      </w:r>
      <w:r>
        <w:rPr>
          <w:rFonts w:ascii="Times New Roman" w:hAnsi="Times New Roman" w:eastAsia="Arial Unicode MS" w:cs="Times New Roman"/>
          <w:bCs/>
          <w:color w:val="000000"/>
          <w:lang w:eastAsia="ru-RU"/>
        </w:rPr>
        <w:t xml:space="preserve"> в доверенности на право подписания независимой гарантии имеются ограничения (подписание независимой гарантии осуществляется в рамках внутренних нормативных документов Гаранта, решений кредитных комитетов, структурных подразделений или должностных лиц Гара</w:t>
      </w:r>
      <w:r>
        <w:rPr>
          <w:rFonts w:ascii="Times New Roman" w:hAnsi="Times New Roman" w:eastAsia="Arial Unicode MS" w:cs="Times New Roman"/>
          <w:bCs/>
          <w:color w:val="000000"/>
          <w:lang w:eastAsia="ru-RU"/>
        </w:rPr>
        <w:t xml:space="preserve">нта), необходимо представление всех поименованных в доверенности документов.</w:t>
      </w:r>
      <w:r>
        <w:rPr>
          <w:rFonts w:ascii="Times New Roman" w:hAnsi="Times New Roman" w:eastAsia="Arial Unicode MS" w:cs="Times New Roman"/>
          <w:bCs/>
          <w:color w:val="000000"/>
          <w:lang w:eastAsia="ru-RU"/>
        </w:rPr>
      </w:r>
    </w:p>
    <w:p>
      <w:pPr>
        <w:ind w:firstLine="709"/>
        <w:jc w:val="both"/>
        <w:spacing w:after="0" w:line="240" w:lineRule="auto"/>
        <w:widowControl w:val="off"/>
        <w:rPr>
          <w:rFonts w:ascii="Times New Roman" w:hAnsi="Times New Roman" w:eastAsia="Arial Unicode MS" w:cs="Times New Roman"/>
          <w:bCs/>
          <w:color w:val="000000"/>
          <w:lang w:eastAsia="ru-RU"/>
        </w:rPr>
        <w:pBdr>
          <w:top w:val="none" w:color="000000" w:sz="4" w:space="0"/>
          <w:left w:val="none" w:color="000000" w:sz="4" w:space="0"/>
          <w:bottom w:val="none" w:color="000000" w:sz="4" w:space="0"/>
          <w:right w:val="none" w:color="000000" w:sz="4" w:space="0"/>
          <w:between w:val="none" w:color="000000" w:sz="4" w:space="0"/>
        </w:pBdr>
      </w:pPr>
      <w:r>
        <w:rPr>
          <w:rFonts w:ascii="Times New Roman" w:hAnsi="Times New Roman" w:eastAsia="Arial Unicode MS" w:cs="Times New Roman"/>
          <w:bCs/>
          <w:color w:val="000000"/>
          <w:lang w:eastAsia="ru-RU"/>
        </w:rPr>
        <w:t xml:space="preserve">В случае отказа Гаранта, после письменного запроса Покупателя, от представления документов, указанных в содержании доверенности, Поставщик предоставляет письмо-подтверждение за по</w:t>
      </w:r>
      <w:r>
        <w:rPr>
          <w:rFonts w:ascii="Times New Roman" w:hAnsi="Times New Roman" w:eastAsia="Arial Unicode MS" w:cs="Times New Roman"/>
          <w:bCs/>
          <w:color w:val="000000"/>
          <w:lang w:eastAsia="ru-RU"/>
        </w:rPr>
        <w:t xml:space="preserve">дписью уполномоченного лица Гаранта, чьи полномочия не ограничены необходимостью представления дополнительных документов, подтверждающее, что независимая гарантия выдана в соответствии с правилами и требованиями, установленными регламентами Гаранта и на ос</w:t>
      </w:r>
      <w:r>
        <w:rPr>
          <w:rFonts w:ascii="Times New Roman" w:hAnsi="Times New Roman" w:eastAsia="Arial Unicode MS" w:cs="Times New Roman"/>
          <w:bCs/>
          <w:color w:val="000000"/>
          <w:lang w:eastAsia="ru-RU"/>
        </w:rPr>
        <w:t xml:space="preserve">новании соответствующих решений уполномоченных органов/должностных лиц Гаранта, перечисленных в содержании доверенности, с обязательным указанием реквизитов (дата, номер, наименование органа/должностного лица принявшего решение) документов, подтверждающих </w:t>
      </w:r>
      <w:r>
        <w:rPr>
          <w:rFonts w:ascii="Times New Roman" w:hAnsi="Times New Roman" w:eastAsia="Arial Unicode MS" w:cs="Times New Roman"/>
          <w:bCs/>
          <w:color w:val="000000"/>
          <w:lang w:eastAsia="ru-RU"/>
        </w:rPr>
        <w:t xml:space="preserve">факт соблюдения необходимых внутренних процедур Гаранта.</w:t>
      </w:r>
      <w:r>
        <w:rPr>
          <w:rFonts w:ascii="Times New Roman" w:hAnsi="Times New Roman" w:eastAsia="Arial Unicode MS" w:cs="Times New Roman"/>
          <w:bCs/>
          <w:color w:val="000000"/>
          <w:lang w:eastAsia="ru-RU"/>
        </w:rPr>
      </w:r>
    </w:p>
    <w:p>
      <w:pPr>
        <w:ind w:firstLine="720"/>
        <w:jc w:val="both"/>
        <w:spacing w:after="0" w:line="240" w:lineRule="auto"/>
        <w:widowControl w:val="off"/>
        <w:rPr>
          <w:rFonts w:ascii="Times New Roman" w:hAnsi="Times New Roman" w:eastAsia="Arial Unicode MS" w:cs="Times New Roman"/>
          <w:bCs/>
          <w:color w:val="000000"/>
          <w:lang w:eastAsia="ru-RU"/>
        </w:rPr>
        <w:pBdr>
          <w:top w:val="none" w:color="000000" w:sz="4" w:space="0"/>
          <w:left w:val="none" w:color="000000" w:sz="4" w:space="0"/>
          <w:bottom w:val="none" w:color="000000" w:sz="4" w:space="0"/>
          <w:right w:val="none" w:color="000000" w:sz="4" w:space="0"/>
          <w:between w:val="none" w:color="000000" w:sz="4" w:space="0"/>
        </w:pBdr>
      </w:pPr>
      <w:r>
        <w:rPr>
          <w:rFonts w:ascii="Times New Roman" w:hAnsi="Times New Roman" w:eastAsia="Arial Unicode MS" w:cs="Times New Roman"/>
          <w:bCs/>
          <w:color w:val="000000"/>
          <w:lang w:eastAsia="ru-RU"/>
        </w:rPr>
        <w:t xml:space="preserve">5.3. Дополнительно представляются следующие документы</w:t>
      </w:r>
      <w:r>
        <w:rPr>
          <w:rFonts w:ascii="Times New Roman" w:hAnsi="Times New Roman" w:eastAsia="Arial Unicode MS" w:cs="Times New Roman"/>
          <w:bCs/>
          <w:color w:val="000000"/>
          <w:vertAlign w:val="superscript"/>
          <w:lang w:eastAsia="ru-RU"/>
        </w:rPr>
        <w:footnoteReference w:id="16"/>
      </w:r>
      <w:r>
        <w:rPr>
          <w:rFonts w:ascii="Times New Roman" w:hAnsi="Times New Roman" w:eastAsia="Arial Unicode MS" w:cs="Times New Roman"/>
          <w:bCs/>
          <w:color w:val="000000"/>
          <w:lang w:eastAsia="ru-RU"/>
        </w:rPr>
        <w:t xml:space="preserve">:</w:t>
      </w:r>
      <w:r>
        <w:rPr>
          <w:rFonts w:ascii="Times New Roman" w:hAnsi="Times New Roman" w:eastAsia="Arial Unicode MS" w:cs="Times New Roman"/>
          <w:bCs/>
          <w:color w:val="000000"/>
          <w:lang w:eastAsia="ru-RU"/>
        </w:rPr>
      </w:r>
    </w:p>
    <w:p>
      <w:pPr>
        <w:numPr>
          <w:ilvl w:val="4"/>
          <w:numId w:val="56"/>
        </w:numPr>
        <w:ind w:left="0" w:firstLine="709"/>
        <w:jc w:val="both"/>
        <w:spacing w:after="0" w:line="240" w:lineRule="auto"/>
        <w:widowControl w:val="off"/>
        <w:tabs>
          <w:tab w:val="num" w:pos="1080" w:leader="none"/>
          <w:tab w:val="num" w:pos="1648" w:leader="none"/>
        </w:tabs>
        <w:rPr>
          <w:rFonts w:ascii="Times New Roman" w:hAnsi="Times New Roman" w:eastAsia="Arial Unicode MS" w:cs="Times New Roman"/>
          <w:bCs/>
          <w:color w:val="000000"/>
          <w:highlight w:val="yellow"/>
          <w:lang w:eastAsia="ru-RU"/>
        </w:rPr>
      </w:pPr>
      <w:r>
        <w:rPr>
          <w:rFonts w:ascii="Times New Roman" w:hAnsi="Times New Roman" w:eastAsia="Arial Unicode MS" w:cs="Times New Roman"/>
          <w:bCs/>
          <w:color w:val="000000"/>
          <w:highlight w:val="yellow"/>
          <w:lang w:eastAsia="ru-RU"/>
        </w:rPr>
        <w:t xml:space="preserve">форма банковской отчетности по РСБУ № 808 или № 123 (копия, заверенная банком-гарантом) или официальное письмо от Гаранта с указанием суммы соб</w:t>
      </w:r>
      <w:r>
        <w:rPr>
          <w:rFonts w:ascii="Times New Roman" w:hAnsi="Times New Roman" w:eastAsia="Arial Unicode MS" w:cs="Times New Roman"/>
          <w:bCs/>
          <w:color w:val="000000"/>
          <w:highlight w:val="yellow"/>
          <w:lang w:eastAsia="ru-RU"/>
        </w:rPr>
        <w:t xml:space="preserve">ственных средств (капитала) Гаранта по состоянию на последнюю отчетную дату - представляются только банками-гарантами, которые не раскрывают указанные формы/информацию на официальном сайте Банка России (</w:t>
      </w:r>
      <w:hyperlink r:id="rId22" w:tooltip="http://www.cbr.ru/credit/" w:history="1">
        <w:r>
          <w:rPr>
            <w:rFonts w:ascii="Times New Roman" w:hAnsi="Times New Roman" w:eastAsia="Arial Unicode MS" w:cs="Times New Roman"/>
            <w:bCs/>
            <w:color w:val="000000"/>
            <w:highlight w:val="yellow"/>
            <w:u w:val="single"/>
            <w:lang w:eastAsia="ru-RU"/>
          </w:rPr>
          <w:t xml:space="preserve">http://www.cbr.ru/credit/</w:t>
        </w:r>
      </w:hyperlink>
      <w:r>
        <w:rPr>
          <w:rFonts w:ascii="Times New Roman" w:hAnsi="Times New Roman" w:eastAsia="Arial Unicode MS" w:cs="Times New Roman"/>
          <w:bCs/>
          <w:color w:val="000000"/>
          <w:highlight w:val="yellow"/>
          <w:lang w:eastAsia="ru-RU"/>
        </w:rPr>
        <w:t xml:space="preserve">);</w:t>
      </w:r>
      <w:r>
        <w:rPr>
          <w:rFonts w:ascii="Times New Roman" w:hAnsi="Times New Roman" w:eastAsia="Arial Unicode MS" w:cs="Times New Roman"/>
          <w:bCs/>
          <w:color w:val="000000"/>
          <w:highlight w:val="yellow"/>
          <w:lang w:eastAsia="ru-RU"/>
        </w:rPr>
      </w:r>
    </w:p>
    <w:p>
      <w:pPr>
        <w:numPr>
          <w:ilvl w:val="4"/>
          <w:numId w:val="56"/>
        </w:numPr>
        <w:ind w:left="0" w:firstLine="709"/>
        <w:jc w:val="both"/>
        <w:spacing w:after="0" w:line="240" w:lineRule="auto"/>
        <w:widowControl w:val="off"/>
        <w:tabs>
          <w:tab w:val="num" w:pos="1080" w:leader="none"/>
          <w:tab w:val="num" w:pos="1648" w:leader="none"/>
        </w:tabs>
        <w:rPr>
          <w:rFonts w:ascii="Times New Roman" w:hAnsi="Times New Roman" w:eastAsia="Arial Unicode MS" w:cs="Times New Roman"/>
          <w:bCs/>
          <w:color w:val="000000"/>
          <w:lang w:eastAsia="ru-RU"/>
        </w:rPr>
      </w:pPr>
      <w:r>
        <w:rPr>
          <w:rFonts w:ascii="Times New Roman" w:hAnsi="Times New Roman" w:eastAsia="Arial Unicode MS" w:cs="Times New Roman"/>
          <w:bCs/>
          <w:color w:val="000000"/>
          <w:lang w:eastAsia="ru-RU"/>
        </w:rPr>
        <w:t xml:space="preserve">письмо Гаранта о не нахождении его в процессе ликвидации или банкротства, об отсутствии установленных Банком России в отношении Гаранта в индивидуальном по</w:t>
      </w:r>
      <w:r>
        <w:rPr>
          <w:rFonts w:ascii="Times New Roman" w:hAnsi="Times New Roman" w:eastAsia="Arial Unicode MS" w:cs="Times New Roman"/>
          <w:bCs/>
          <w:color w:val="000000"/>
          <w:lang w:eastAsia="ru-RU"/>
        </w:rPr>
        <w:t xml:space="preserve">рядке ограничений на проведение отдельных операций, выданное не ранее, чем за 30 дней до даты выдачи независимой гарантии (оригинал).</w:t>
      </w:r>
      <w:r>
        <w:rPr>
          <w:rFonts w:ascii="Times New Roman" w:hAnsi="Times New Roman" w:eastAsia="Arial Unicode MS" w:cs="Times New Roman"/>
          <w:bCs/>
          <w:color w:val="000000"/>
          <w:lang w:eastAsia="ru-RU"/>
        </w:rPr>
      </w:r>
    </w:p>
    <w:p>
      <w:pPr>
        <w:ind w:left="567" w:firstLine="142"/>
        <w:jc w:val="both"/>
        <w:spacing w:before="240" w:after="0" w:line="240" w:lineRule="auto"/>
        <w:widowControl w:val="off"/>
        <w:rPr>
          <w:rFonts w:ascii="Times New Roman" w:hAnsi="Times New Roman" w:eastAsia="Arial Unicode MS" w:cs="Times New Roman"/>
          <w:bCs/>
          <w:color w:val="000000"/>
          <w:lang w:eastAsia="ru-RU"/>
        </w:rPr>
        <w:pBdr>
          <w:top w:val="none" w:color="000000" w:sz="4" w:space="0"/>
          <w:left w:val="none" w:color="000000" w:sz="4" w:space="0"/>
          <w:bottom w:val="none" w:color="000000" w:sz="4" w:space="0"/>
          <w:right w:val="none" w:color="000000" w:sz="4" w:space="0"/>
          <w:between w:val="none" w:color="000000" w:sz="4" w:space="0"/>
        </w:pBdr>
      </w:pPr>
      <w:r>
        <w:rPr>
          <w:rFonts w:ascii="Times New Roman" w:hAnsi="Times New Roman" w:eastAsia="Arial Unicode MS" w:cs="Times New Roman"/>
          <w:bCs/>
          <w:color w:val="000000"/>
          <w:lang w:eastAsia="ru-RU"/>
        </w:rPr>
        <w:t xml:space="preserve">5.4. Иные документы по запросу Покупателя.</w:t>
      </w:r>
      <w:r>
        <w:rPr>
          <w:rFonts w:ascii="Times New Roman" w:hAnsi="Times New Roman" w:eastAsia="Arial Unicode MS" w:cs="Times New Roman"/>
          <w:bCs/>
          <w:color w:val="000000"/>
          <w:lang w:eastAsia="ru-RU"/>
        </w:rPr>
      </w:r>
    </w:p>
    <w:p>
      <w:pPr>
        <w:ind w:firstLine="709"/>
        <w:jc w:val="both"/>
        <w:spacing w:after="0" w:line="240" w:lineRule="auto"/>
        <w:widowControl w:val="off"/>
        <w:rPr>
          <w:rFonts w:ascii="Times New Roman" w:hAnsi="Times New Roman" w:eastAsia="Arial Unicode MS" w:cs="Times New Roman"/>
          <w:bCs/>
          <w:color w:val="000000"/>
          <w:highlight w:val="yellow"/>
          <w:lang w:eastAsia="ru-RU"/>
        </w:rPr>
        <w:pBdr>
          <w:top w:val="none" w:color="000000" w:sz="4" w:space="0"/>
          <w:left w:val="none" w:color="000000" w:sz="4" w:space="0"/>
          <w:bottom w:val="none" w:color="000000" w:sz="4" w:space="0"/>
          <w:right w:val="none" w:color="000000" w:sz="4" w:space="0"/>
          <w:between w:val="none" w:color="000000" w:sz="4" w:space="0"/>
        </w:pBdr>
      </w:pPr>
      <w:r>
        <w:rPr>
          <w:rFonts w:ascii="Times New Roman" w:hAnsi="Times New Roman" w:eastAsia="Arial Unicode MS" w:cs="Times New Roman"/>
          <w:bCs/>
          <w:color w:val="000000"/>
          <w:highlight w:val="yellow"/>
          <w:lang w:eastAsia="ru-RU"/>
        </w:rPr>
        <w:t xml:space="preserve">5.5. Допускается предоставление независимых гарантий, выданных в письменной форме на бумажном носителе или в форме электронного документа, подписанного усиленной квалифицированной электронной подписью (УКЭП).</w:t>
      </w:r>
      <w:r>
        <w:rPr>
          <w:rFonts w:ascii="Times New Roman" w:hAnsi="Times New Roman" w:eastAsia="Arial Unicode MS" w:cs="Times New Roman"/>
          <w:bCs/>
          <w:color w:val="000000"/>
          <w:highlight w:val="yellow"/>
          <w:lang w:eastAsia="ru-RU"/>
        </w:rPr>
      </w:r>
    </w:p>
    <w:p>
      <w:pPr>
        <w:ind w:firstLine="709"/>
        <w:jc w:val="both"/>
        <w:spacing w:after="0" w:line="240" w:lineRule="auto"/>
        <w:widowControl w:val="off"/>
        <w:rPr>
          <w:rFonts w:ascii="Times New Roman" w:hAnsi="Times New Roman" w:eastAsia="Arial Unicode MS" w:cs="Times New Roman"/>
          <w:bCs/>
          <w:color w:val="000000"/>
          <w:highlight w:val="yellow"/>
          <w:lang w:eastAsia="ru-RU"/>
        </w:rPr>
        <w:pBdr>
          <w:top w:val="none" w:color="000000" w:sz="4" w:space="0"/>
          <w:left w:val="none" w:color="000000" w:sz="4" w:space="0"/>
          <w:bottom w:val="none" w:color="000000" w:sz="4" w:space="0"/>
          <w:right w:val="none" w:color="000000" w:sz="4" w:space="0"/>
          <w:between w:val="none" w:color="000000" w:sz="4" w:space="0"/>
        </w:pBdr>
      </w:pPr>
      <w:r>
        <w:rPr>
          <w:rFonts w:ascii="Times New Roman" w:hAnsi="Times New Roman" w:eastAsia="Arial Unicode MS" w:cs="Times New Roman"/>
          <w:bCs/>
          <w:color w:val="000000"/>
          <w:highlight w:val="yellow"/>
          <w:lang w:eastAsia="ru-RU"/>
        </w:rPr>
        <w:t xml:space="preserve">Порядок работы с независимыми гарантиями, предс</w:t>
      </w:r>
      <w:r>
        <w:rPr>
          <w:rFonts w:ascii="Times New Roman" w:hAnsi="Times New Roman" w:eastAsia="Arial Unicode MS" w:cs="Times New Roman"/>
          <w:bCs/>
          <w:color w:val="000000"/>
          <w:highlight w:val="yellow"/>
          <w:lang w:eastAsia="ru-RU"/>
        </w:rPr>
        <w:t xml:space="preserve">тавленными в форме электронного документа, осуществляется на тех же принципах, что и для независимых гарантий, представленных в письменной форме на бумажном носителе при одновременном соблюдении следующих условий:</w:t>
      </w:r>
      <w:r>
        <w:rPr>
          <w:rFonts w:ascii="Times New Roman" w:hAnsi="Times New Roman" w:eastAsia="Arial Unicode MS" w:cs="Times New Roman"/>
          <w:bCs/>
          <w:color w:val="000000"/>
          <w:highlight w:val="yellow"/>
          <w:lang w:eastAsia="ru-RU"/>
        </w:rPr>
      </w:r>
    </w:p>
    <w:p>
      <w:pPr>
        <w:ind w:firstLine="709"/>
        <w:jc w:val="both"/>
        <w:spacing w:before="240" w:after="0" w:line="240" w:lineRule="auto"/>
        <w:widowControl w:val="off"/>
        <w:tabs>
          <w:tab w:val="left" w:pos="993" w:leader="none"/>
        </w:tabs>
        <w:rPr>
          <w:rFonts w:ascii="Times New Roman" w:hAnsi="Times New Roman" w:eastAsia="Arial Unicode MS" w:cs="Times New Roman"/>
          <w:bCs/>
          <w:color w:val="000000"/>
          <w:highlight w:val="yellow"/>
          <w:lang w:eastAsia="ru-RU"/>
        </w:rPr>
        <w:pBdr>
          <w:top w:val="none" w:color="000000" w:sz="4" w:space="0"/>
          <w:left w:val="none" w:color="000000" w:sz="4" w:space="0"/>
          <w:bottom w:val="none" w:color="000000" w:sz="4" w:space="0"/>
          <w:right w:val="none" w:color="000000" w:sz="4" w:space="0"/>
          <w:between w:val="none" w:color="000000" w:sz="4" w:space="0"/>
        </w:pBdr>
      </w:pPr>
      <w:r>
        <w:rPr>
          <w:rFonts w:ascii="Times New Roman" w:hAnsi="Times New Roman" w:eastAsia="Arial Unicode MS" w:cs="Times New Roman"/>
          <w:bCs/>
          <w:color w:val="000000"/>
          <w:highlight w:val="yellow"/>
          <w:lang w:eastAsia="ru-RU"/>
        </w:rPr>
        <w:t xml:space="preserve">-</w:t>
      </w:r>
      <w:r>
        <w:rPr>
          <w:rFonts w:ascii="Times New Roman" w:hAnsi="Times New Roman" w:eastAsia="Arial Unicode MS" w:cs="Times New Roman"/>
          <w:bCs/>
          <w:color w:val="000000"/>
          <w:highlight w:val="yellow"/>
          <w:lang w:eastAsia="ru-RU"/>
        </w:rPr>
        <w:tab/>
        <w:t xml:space="preserve">на согласование Заказчику представляется</w:t>
      </w:r>
      <w:r>
        <w:rPr>
          <w:rFonts w:ascii="Times New Roman" w:hAnsi="Times New Roman" w:eastAsia="Arial Unicode MS" w:cs="Times New Roman"/>
          <w:bCs/>
          <w:color w:val="000000"/>
          <w:highlight w:val="yellow"/>
          <w:lang w:eastAsia="ru-RU"/>
        </w:rPr>
        <w:t xml:space="preserve"> оригинал независимой гарантии, подписанный УКЭП Гаранта (представление копии независимой гарантии, заверенной УКЭП Гаранта, не допускается);</w:t>
      </w:r>
      <w:r>
        <w:rPr>
          <w:rFonts w:ascii="Times New Roman" w:hAnsi="Times New Roman" w:eastAsia="Arial Unicode MS" w:cs="Times New Roman"/>
          <w:bCs/>
          <w:color w:val="000000"/>
          <w:highlight w:val="yellow"/>
          <w:lang w:eastAsia="ru-RU"/>
        </w:rPr>
      </w:r>
    </w:p>
    <w:p>
      <w:pPr>
        <w:ind w:firstLine="709"/>
        <w:jc w:val="both"/>
        <w:spacing w:before="240" w:after="0" w:line="240" w:lineRule="auto"/>
        <w:widowControl w:val="off"/>
        <w:tabs>
          <w:tab w:val="left" w:pos="993" w:leader="none"/>
        </w:tabs>
        <w:rPr>
          <w:rFonts w:ascii="Times New Roman" w:hAnsi="Times New Roman" w:eastAsia="Arial Unicode MS" w:cs="Times New Roman"/>
          <w:bCs/>
          <w:color w:val="000000"/>
          <w:highlight w:val="yellow"/>
          <w:lang w:eastAsia="ru-RU"/>
        </w:rPr>
        <w:pBdr>
          <w:top w:val="none" w:color="000000" w:sz="4" w:space="0"/>
          <w:left w:val="none" w:color="000000" w:sz="4" w:space="0"/>
          <w:bottom w:val="none" w:color="000000" w:sz="4" w:space="0"/>
          <w:right w:val="none" w:color="000000" w:sz="4" w:space="0"/>
          <w:between w:val="none" w:color="000000" w:sz="4" w:space="0"/>
        </w:pBdr>
      </w:pPr>
      <w:r>
        <w:rPr>
          <w:rFonts w:ascii="Times New Roman" w:hAnsi="Times New Roman" w:eastAsia="Arial Unicode MS" w:cs="Times New Roman"/>
          <w:bCs/>
          <w:color w:val="000000"/>
          <w:highlight w:val="yellow"/>
          <w:lang w:eastAsia="ru-RU"/>
        </w:rPr>
        <w:t xml:space="preserve">-</w:t>
      </w:r>
      <w:r>
        <w:rPr>
          <w:rFonts w:ascii="Times New Roman" w:hAnsi="Times New Roman" w:eastAsia="Arial Unicode MS" w:cs="Times New Roman"/>
          <w:bCs/>
          <w:color w:val="000000"/>
          <w:highlight w:val="yellow"/>
          <w:lang w:eastAsia="ru-RU"/>
        </w:rPr>
        <w:tab/>
        <w:t xml:space="preserve">независимая гарантия не считается предоставленной Подрядчиком (полученной Заказчиком) до момента ее согласования</w:t>
      </w:r>
      <w:r>
        <w:rPr>
          <w:rFonts w:ascii="Times New Roman" w:hAnsi="Times New Roman" w:eastAsia="Arial Unicode MS" w:cs="Times New Roman"/>
          <w:bCs/>
          <w:color w:val="000000"/>
          <w:highlight w:val="yellow"/>
          <w:lang w:eastAsia="ru-RU"/>
        </w:rPr>
        <w:t xml:space="preserve"> Заказчиком в соответствии с требованиями настоящего Порядка и фиксации сторонами факта передачи независимой гарантии от Подрядчика Заказчику (подписания акта-приема передачи независимой гарантии, допускается подписание акта-приема передачи независимой гар</w:t>
      </w:r>
      <w:r>
        <w:rPr>
          <w:rFonts w:ascii="Times New Roman" w:hAnsi="Times New Roman" w:eastAsia="Arial Unicode MS" w:cs="Times New Roman"/>
          <w:bCs/>
          <w:color w:val="000000"/>
          <w:highlight w:val="yellow"/>
          <w:lang w:eastAsia="ru-RU"/>
        </w:rPr>
        <w:t xml:space="preserve">антии УКЭП);</w:t>
      </w:r>
      <w:r>
        <w:rPr>
          <w:rFonts w:ascii="Times New Roman" w:hAnsi="Times New Roman" w:eastAsia="Arial Unicode MS" w:cs="Times New Roman"/>
          <w:bCs/>
          <w:color w:val="000000"/>
          <w:highlight w:val="yellow"/>
          <w:lang w:eastAsia="ru-RU"/>
        </w:rPr>
      </w:r>
    </w:p>
    <w:p>
      <w:pPr>
        <w:ind w:firstLine="709"/>
        <w:jc w:val="both"/>
        <w:spacing w:before="240" w:after="0" w:line="240" w:lineRule="auto"/>
        <w:widowControl w:val="off"/>
        <w:tabs>
          <w:tab w:val="left" w:pos="993" w:leader="none"/>
        </w:tabs>
        <w:rPr>
          <w:rFonts w:ascii="Times New Roman" w:hAnsi="Times New Roman" w:eastAsia="Arial Unicode MS" w:cs="Times New Roman"/>
          <w:bCs/>
          <w:color w:val="000000"/>
          <w:lang w:eastAsia="ru-RU"/>
        </w:rPr>
        <w:pBdr>
          <w:top w:val="none" w:color="000000" w:sz="4" w:space="0"/>
          <w:left w:val="none" w:color="000000" w:sz="4" w:space="0"/>
          <w:bottom w:val="none" w:color="000000" w:sz="4" w:space="0"/>
          <w:right w:val="none" w:color="000000" w:sz="4" w:space="0"/>
          <w:between w:val="none" w:color="000000" w:sz="4" w:space="0"/>
        </w:pBdr>
      </w:pPr>
      <w:r>
        <w:rPr>
          <w:rFonts w:ascii="Times New Roman" w:hAnsi="Times New Roman" w:eastAsia="Arial Unicode MS" w:cs="Times New Roman"/>
          <w:bCs/>
          <w:color w:val="000000"/>
          <w:highlight w:val="yellow"/>
          <w:lang w:eastAsia="ru-RU"/>
        </w:rPr>
        <w:t xml:space="preserve">-</w:t>
      </w:r>
      <w:r>
        <w:rPr>
          <w:rFonts w:ascii="Times New Roman" w:hAnsi="Times New Roman" w:eastAsia="Arial Unicode MS" w:cs="Times New Roman"/>
          <w:bCs/>
          <w:color w:val="000000"/>
          <w:highlight w:val="yellow"/>
          <w:lang w:eastAsia="ru-RU"/>
        </w:rPr>
        <w:tab/>
        <w:t xml:space="preserve">выданная в пользу Заказчика независимая гарантия может быть изменена гарантом (в случае выявления Заказчиком технических ошибок при проверке независимой гарантии).</w:t>
      </w:r>
      <w:r>
        <w:rPr>
          <w:rFonts w:ascii="Times New Roman" w:hAnsi="Times New Roman" w:eastAsia="Arial Unicode MS" w:cs="Times New Roman"/>
          <w:bCs/>
          <w:color w:val="000000"/>
          <w:lang w:eastAsia="ru-RU"/>
        </w:rPr>
      </w:r>
    </w:p>
    <w:p>
      <w:pPr>
        <w:contextualSpacing/>
        <w:ind w:firstLine="585"/>
        <w:jc w:val="both"/>
        <w:spacing w:after="0" w:line="240" w:lineRule="auto"/>
        <w:widowControl w:val="off"/>
        <w:rPr>
          <w:rFonts w:ascii="Times New Roman" w:hAnsi="Times New Roman" w:eastAsia="Times New Roman" w:cs="Times New Roman"/>
          <w:lang w:eastAsia="ru-RU"/>
        </w:rPr>
      </w:pPr>
      <w:r>
        <w:rPr>
          <w:rFonts w:ascii="Times New Roman" w:hAnsi="Times New Roman" w:eastAsia="Times New Roman" w:cs="Times New Roman"/>
          <w:lang w:eastAsia="ru-RU"/>
        </w:rPr>
        <w:t xml:space="preserve">6. Покупатель уведомляет Поставщика о результатах согласования независимой гарантии в письменной форме.</w:t>
      </w:r>
      <w:r>
        <w:rPr>
          <w:rFonts w:ascii="Times New Roman" w:hAnsi="Times New Roman" w:eastAsia="Times New Roman" w:cs="Times New Roman"/>
          <w:lang w:eastAsia="ru-RU"/>
        </w:rPr>
      </w:r>
    </w:p>
    <w:p>
      <w:pPr>
        <w:contextualSpacing/>
        <w:ind w:firstLine="585"/>
        <w:jc w:val="both"/>
        <w:spacing w:after="0" w:line="240" w:lineRule="auto"/>
        <w:widowControl w:val="off"/>
        <w:rPr>
          <w:rFonts w:ascii="Times New Roman" w:hAnsi="Times New Roman" w:eastAsia="Times New Roman" w:cs="Times New Roman"/>
          <w:lang w:eastAsia="ru-RU"/>
        </w:rPr>
      </w:pPr>
      <w:r>
        <w:rPr>
          <w:rFonts w:ascii="Times New Roman" w:hAnsi="Times New Roman" w:eastAsia="Times New Roman" w:cs="Times New Roman"/>
          <w:lang w:eastAsia="ru-RU"/>
        </w:rPr>
        <w:t xml:space="preserve">7. В случае наличия у Покупателя надлежащим образом заверенных копий, указанных в п. 5 настоящего приложения документов, полученных из других источников</w:t>
      </w:r>
      <w:r>
        <w:rPr>
          <w:rFonts w:ascii="Times New Roman" w:hAnsi="Times New Roman" w:eastAsia="Times New Roman" w:cs="Times New Roman"/>
          <w:lang w:eastAsia="ru-RU"/>
        </w:rPr>
        <w:t xml:space="preserve">, Покупатель может согласовать отсутствие необходимости предоставления отдельных указанных в п. 5 настоящего приложения документов Поставщиком.</w:t>
      </w:r>
      <w:r>
        <w:rPr>
          <w:rFonts w:ascii="Times New Roman" w:hAnsi="Times New Roman" w:eastAsia="Times New Roman" w:cs="Times New Roman"/>
          <w:lang w:eastAsia="ru-RU"/>
        </w:rPr>
      </w:r>
    </w:p>
    <w:p>
      <w:pPr>
        <w:contextualSpacing/>
        <w:ind w:firstLine="585"/>
        <w:jc w:val="both"/>
        <w:spacing w:after="0" w:line="240" w:lineRule="auto"/>
        <w:widowControl w:val="off"/>
        <w:rPr>
          <w:rFonts w:ascii="Times New Roman" w:hAnsi="Times New Roman" w:eastAsia="Times New Roman" w:cs="Times New Roman"/>
          <w:lang w:eastAsia="ru-RU"/>
        </w:rPr>
      </w:pPr>
      <w:r>
        <w:rPr>
          <w:rFonts w:ascii="Times New Roman" w:hAnsi="Times New Roman" w:eastAsia="Times New Roman" w:cs="Times New Roman"/>
          <w:lang w:eastAsia="ru-RU"/>
        </w:rPr>
        <w:t xml:space="preserve">При отсутствии указанных в п. 5 настоящего приложения документов независимая гарантия Покупателем не принимается</w:t>
      </w:r>
      <w:r>
        <w:rPr>
          <w:rFonts w:ascii="Times New Roman" w:hAnsi="Times New Roman" w:eastAsia="Times New Roman" w:cs="Times New Roman"/>
          <w:lang w:eastAsia="ru-RU"/>
        </w:rPr>
        <w:t xml:space="preserve">.</w:t>
      </w:r>
      <w:r>
        <w:rPr>
          <w:rFonts w:ascii="Times New Roman" w:hAnsi="Times New Roman" w:eastAsia="Times New Roman" w:cs="Times New Roman"/>
          <w:lang w:eastAsia="ru-RU"/>
        </w:rPr>
      </w:r>
    </w:p>
    <w:p>
      <w:pPr>
        <w:contextualSpacing/>
        <w:ind w:firstLine="585"/>
        <w:jc w:val="both"/>
        <w:spacing w:after="0" w:line="240" w:lineRule="auto"/>
        <w:widowControl w:val="off"/>
        <w:rPr>
          <w:rFonts w:ascii="Times New Roman" w:hAnsi="Times New Roman" w:eastAsia="Times New Roman" w:cs="Times New Roman"/>
          <w:b/>
          <w:bCs/>
          <w:lang w:eastAsia="ru-RU"/>
        </w:rPr>
      </w:pPr>
      <w:r>
        <w:rPr>
          <w:rFonts w:ascii="Times New Roman" w:hAnsi="Times New Roman" w:eastAsia="Times New Roman" w:cs="Times New Roman"/>
          <w:highlight w:val="yellow"/>
          <w:lang w:eastAsia="ru-RU"/>
        </w:rPr>
        <w:t xml:space="preserve">8. Копия независимой гарантии и указанные в п. 5 настоящего приложения документы должны быть представлены Поставщиком на согласование Покупателя не позднее, чем за 10 (десять) рабочих дней до планируемой даты предоставления Покупателю оригинала согласова</w:t>
      </w:r>
      <w:r>
        <w:rPr>
          <w:rFonts w:ascii="Times New Roman" w:hAnsi="Times New Roman" w:eastAsia="Times New Roman" w:cs="Times New Roman"/>
          <w:highlight w:val="yellow"/>
          <w:lang w:eastAsia="ru-RU"/>
        </w:rPr>
        <w:t xml:space="preserve">нной независимой гарантии.</w:t>
      </w:r>
      <w:r>
        <w:rPr>
          <w:rFonts w:ascii="Times New Roman" w:hAnsi="Times New Roman" w:eastAsia="Times New Roman" w:cs="Times New Roman"/>
          <w:b/>
          <w:bCs/>
          <w:lang w:eastAsia="ru-RU"/>
        </w:rPr>
      </w:r>
    </w:p>
    <w:p>
      <w:pPr>
        <w:contextualSpacing/>
        <w:ind w:firstLine="585"/>
        <w:jc w:val="both"/>
        <w:spacing w:after="0" w:line="240" w:lineRule="auto"/>
        <w:widowControl w:val="off"/>
        <w:rPr>
          <w:rFonts w:ascii="Times New Roman" w:hAnsi="Times New Roman" w:eastAsia="Times New Roman" w:cs="Times New Roman"/>
          <w:lang w:eastAsia="ru-RU"/>
        </w:rPr>
      </w:pPr>
      <w:r>
        <w:rPr>
          <w:rFonts w:ascii="Times New Roman" w:hAnsi="Times New Roman" w:eastAsia="Times New Roman" w:cs="Times New Roman"/>
          <w:lang w:eastAsia="ru-RU"/>
        </w:rPr>
        <w:t xml:space="preserve">9. В случае предоставления Поставщиком новой независимой гарантии в порядке, предусмотренном Договором, новая независимая гарантия должна соответствовать требованиям, установленным организационно-распорядительными документами </w:t>
      </w:r>
      <w:r>
        <w:rPr>
          <w:rFonts w:ascii="Times New Roman" w:hAnsi="Times New Roman" w:eastAsia="Times New Roman" w:cs="Times New Roman"/>
          <w:highlight w:val="yellow"/>
          <w:lang w:eastAsia="ru-RU"/>
        </w:rPr>
        <w:t xml:space="preserve">Пок</w:t>
      </w:r>
      <w:r>
        <w:rPr>
          <w:rFonts w:ascii="Times New Roman" w:hAnsi="Times New Roman" w:eastAsia="Times New Roman" w:cs="Times New Roman"/>
          <w:highlight w:val="yellow"/>
          <w:lang w:eastAsia="ru-RU"/>
        </w:rPr>
        <w:t xml:space="preserve">упателя</w:t>
      </w:r>
      <w:r>
        <w:rPr>
          <w:rFonts w:ascii="Times New Roman" w:hAnsi="Times New Roman" w:eastAsia="Times New Roman" w:cs="Times New Roman"/>
          <w:lang w:eastAsia="ru-RU"/>
        </w:rPr>
        <w:t xml:space="preserve">, действующими на дату предоставления независимой гарантии.</w:t>
      </w:r>
      <w:r>
        <w:rPr>
          <w:rFonts w:ascii="Times New Roman" w:hAnsi="Times New Roman" w:eastAsia="Times New Roman" w:cs="Times New Roman"/>
          <w:lang w:eastAsia="ru-RU"/>
        </w:rPr>
      </w:r>
    </w:p>
    <w:p>
      <w:pPr>
        <w:contextualSpacing/>
        <w:ind w:firstLine="585"/>
        <w:jc w:val="both"/>
        <w:spacing w:after="0" w:line="240" w:lineRule="auto"/>
        <w:widowControl w:val="off"/>
        <w:rPr>
          <w:rFonts w:ascii="Times New Roman" w:hAnsi="Times New Roman" w:eastAsia="Times New Roman" w:cs="Times New Roman"/>
          <w:lang w:eastAsia="ru-RU"/>
        </w:rPr>
      </w:pPr>
      <w:r>
        <w:rPr>
          <w:rFonts w:ascii="Times New Roman" w:hAnsi="Times New Roman" w:eastAsia="Times New Roman" w:cs="Times New Roman"/>
          <w:lang w:eastAsia="ru-RU"/>
        </w:rPr>
        <w:t xml:space="preserve">10. В случае увеличения сроков исполнения Договора, истечения срока действия независимых гарантий независимо от того, изменялись ли сроки по взаимному согласию Сторон или имело место неиспо</w:t>
      </w:r>
      <w:r>
        <w:rPr>
          <w:rFonts w:ascii="Times New Roman" w:hAnsi="Times New Roman" w:eastAsia="Times New Roman" w:cs="Times New Roman"/>
          <w:lang w:eastAsia="ru-RU"/>
        </w:rPr>
        <w:t xml:space="preserve">лнение обязательств одной из Сторон, Поставщик обязуется предоставить Покупателю новые предварительно согласованные Покупателем независимые гарантии </w:t>
      </w:r>
      <w:r>
        <w:rPr>
          <w:rFonts w:ascii="Times New Roman" w:hAnsi="Times New Roman" w:eastAsia="Times New Roman" w:cs="Times New Roman"/>
          <w:highlight w:val="yellow"/>
          <w:lang w:eastAsia="ru-RU"/>
        </w:rPr>
        <w:t xml:space="preserve">/ изменение к действующей независимой гарантии</w:t>
      </w:r>
      <w:r>
        <w:rPr>
          <w:rFonts w:ascii="Times New Roman" w:hAnsi="Times New Roman" w:eastAsia="Times New Roman" w:cs="Times New Roman"/>
          <w:i/>
          <w:iCs/>
          <w:lang w:eastAsia="ru-RU"/>
        </w:rPr>
        <w:t xml:space="preserve"> </w:t>
      </w:r>
      <w:r>
        <w:rPr>
          <w:rFonts w:ascii="Times New Roman" w:hAnsi="Times New Roman" w:eastAsia="Times New Roman" w:cs="Times New Roman"/>
          <w:lang w:eastAsia="ru-RU"/>
        </w:rPr>
        <w:t xml:space="preserve">в течение 20 (двадцати) рабочих дней с даты, когда Поставщик</w:t>
      </w:r>
      <w:r>
        <w:rPr>
          <w:rFonts w:ascii="Times New Roman" w:hAnsi="Times New Roman" w:eastAsia="Times New Roman" w:cs="Times New Roman"/>
          <w:lang w:eastAsia="ru-RU"/>
        </w:rPr>
        <w:t xml:space="preserve"> узнал или должен был узнать о несоответствии срока действия независимой гарантии условиям настоящего Договора,</w:t>
      </w:r>
      <w:r>
        <w:rPr>
          <w:rFonts w:ascii="Times New Roman" w:hAnsi="Times New Roman" w:eastAsia="Times New Roman" w:cs="Times New Roman"/>
          <w:b/>
          <w:i/>
        </w:rPr>
        <w:t xml:space="preserve"> </w:t>
      </w:r>
      <w:r>
        <w:rPr>
          <w:rFonts w:ascii="Times New Roman" w:hAnsi="Times New Roman" w:eastAsia="Times New Roman" w:cs="Times New Roman"/>
          <w:lang w:eastAsia="ru-RU"/>
        </w:rPr>
        <w:t xml:space="preserve">но не позднее, чем за 60 (шестьдесят) дней до даты окончания действия независимых гарантий, предоставленных по Договору. Новые независимые гаран</w:t>
      </w:r>
      <w:r>
        <w:rPr>
          <w:rFonts w:ascii="Times New Roman" w:hAnsi="Times New Roman" w:eastAsia="Times New Roman" w:cs="Times New Roman"/>
          <w:lang w:eastAsia="ru-RU"/>
        </w:rPr>
        <w:t xml:space="preserve">тии / </w:t>
      </w:r>
      <w:r>
        <w:rPr>
          <w:rFonts w:ascii="Times New Roman" w:hAnsi="Times New Roman" w:eastAsia="Times New Roman" w:cs="Times New Roman"/>
          <w:highlight w:val="yellow"/>
          <w:lang w:eastAsia="ru-RU"/>
        </w:rPr>
        <w:t xml:space="preserve">изменение к действующей независимой гарантии на возврат авансовых платежей и/или на исполнение Поставщиком обязательств по Договору</w:t>
      </w:r>
      <w:r>
        <w:rPr>
          <w:rFonts w:ascii="Times New Roman" w:hAnsi="Times New Roman" w:eastAsia="Times New Roman" w:cs="Times New Roman"/>
          <w:lang w:eastAsia="ru-RU"/>
        </w:rPr>
        <w:t xml:space="preserve"> предоставляются со сроком действия, покрывающим согласованный Сторонами новый срок выполнения обязательств, а также 60</w:t>
      </w:r>
      <w:r>
        <w:rPr>
          <w:rFonts w:ascii="Times New Roman" w:hAnsi="Times New Roman" w:eastAsia="Times New Roman" w:cs="Times New Roman"/>
          <w:lang w:eastAsia="ru-RU"/>
        </w:rPr>
        <w:t xml:space="preserve"> (шестьдесят) дней, следующих после новой даты подписания последнего Документа о приемке </w:t>
      </w:r>
      <w:r>
        <w:rPr>
          <w:rFonts w:ascii="Times New Roman" w:hAnsi="Times New Roman" w:eastAsia="Times New Roman" w:cs="Times New Roman"/>
          <w:highlight w:val="yellow"/>
          <w:lang w:eastAsia="ru-RU"/>
        </w:rPr>
        <w:t xml:space="preserve">Товара/ </w:t>
      </w:r>
      <w:r>
        <w:rPr>
          <w:rFonts w:ascii="Times New Roman" w:hAnsi="Times New Roman" w:eastAsia="Times New Roman" w:cs="Times New Roman"/>
          <w:i/>
          <w:highlight w:val="yellow"/>
          <w:lang w:eastAsia="ru-RU"/>
        </w:rPr>
        <w:t xml:space="preserve">актов оказания дополнительных услуг (в случае наличия соответствующих услуг в предмете Договора)</w:t>
      </w:r>
      <w:r>
        <w:rPr>
          <w:rFonts w:ascii="Times New Roman" w:hAnsi="Times New Roman" w:eastAsia="Times New Roman" w:cs="Times New Roman"/>
          <w:highlight w:val="yellow"/>
          <w:lang w:eastAsia="ru-RU"/>
        </w:rPr>
        <w:t xml:space="preserve">.</w:t>
      </w:r>
      <w:r>
        <w:rPr>
          <w:rFonts w:ascii="Times New Roman" w:hAnsi="Times New Roman" w:eastAsia="Times New Roman" w:cs="Times New Roman"/>
          <w:lang w:eastAsia="ru-RU"/>
        </w:rPr>
      </w:r>
    </w:p>
    <w:p>
      <w:pPr>
        <w:contextualSpacing/>
        <w:ind w:firstLine="709"/>
        <w:jc w:val="both"/>
        <w:spacing w:after="0" w:line="240" w:lineRule="auto"/>
        <w:widowControl w:val="off"/>
        <w:rPr>
          <w:rFonts w:ascii="Times New Roman" w:hAnsi="Times New Roman" w:eastAsia="Times New Roman" w:cs="Times New Roman"/>
          <w:lang w:eastAsia="ru-RU"/>
        </w:rPr>
      </w:pPr>
      <w:r>
        <w:rPr>
          <w:rFonts w:ascii="Times New Roman" w:hAnsi="Times New Roman" w:eastAsia="Times New Roman" w:cs="Times New Roman"/>
          <w:lang w:eastAsia="ru-RU"/>
        </w:rPr>
        <w:t xml:space="preserve">В случае продления гарантийного срока, установленного согласн</w:t>
      </w:r>
      <w:r>
        <w:rPr>
          <w:rFonts w:ascii="Times New Roman" w:hAnsi="Times New Roman" w:eastAsia="Times New Roman" w:cs="Times New Roman"/>
          <w:lang w:eastAsia="ru-RU"/>
        </w:rPr>
        <w:t xml:space="preserve">о п. </w:t>
      </w:r>
      <w:r>
        <w:rPr>
          <w:rFonts w:ascii="Times New Roman" w:hAnsi="Times New Roman" w:eastAsia="Times New Roman" w:cs="Times New Roman"/>
          <w:highlight w:val="yellow"/>
          <w:lang w:eastAsia="ru-RU"/>
        </w:rPr>
        <w:t xml:space="preserve">12</w:t>
      </w:r>
      <w:r>
        <w:rPr>
          <w:rFonts w:ascii="Times New Roman" w:hAnsi="Times New Roman" w:eastAsia="Times New Roman" w:cs="Times New Roman"/>
          <w:lang w:eastAsia="ru-RU"/>
        </w:rPr>
        <w:t xml:space="preserve"> Договора (независимо от того, изменялись ли сроки по взаимному соглашению Сторон, имело место неисполнение обязательств одной из Сторон или вследствие продления гарантийного срока по какой-либо причине), Поставщик обязуется предоставить Покупателю </w:t>
      </w:r>
      <w:r>
        <w:rPr>
          <w:rFonts w:ascii="Times New Roman" w:hAnsi="Times New Roman" w:eastAsia="Times New Roman" w:cs="Times New Roman"/>
          <w:lang w:eastAsia="ru-RU"/>
        </w:rPr>
        <w:t xml:space="preserve">новую предварительно согласованную Покупателем независимую гарантию</w:t>
      </w:r>
      <w:r>
        <w:rPr>
          <w:rFonts w:ascii="Times New Roman" w:hAnsi="Times New Roman" w:eastAsia="Times New Roman" w:cs="Times New Roman"/>
          <w:i/>
          <w:iCs/>
          <w:lang w:eastAsia="ru-RU"/>
        </w:rPr>
        <w:t xml:space="preserve"> </w:t>
      </w:r>
      <w:r>
        <w:rPr>
          <w:rFonts w:ascii="Times New Roman" w:hAnsi="Times New Roman" w:eastAsia="Times New Roman" w:cs="Times New Roman"/>
          <w:lang w:eastAsia="ru-RU"/>
        </w:rPr>
        <w:t xml:space="preserve">на обеспечение гарантийных обязательств или единую независимую гарантию /</w:t>
      </w:r>
      <w:r>
        <w:rPr>
          <w:rFonts w:ascii="Times New Roman" w:hAnsi="Times New Roman" w:eastAsia="Times New Roman" w:cs="Times New Roman"/>
          <w:i/>
          <w:lang w:eastAsia="ru-RU"/>
        </w:rPr>
        <w:t xml:space="preserve"> </w:t>
      </w:r>
      <w:r>
        <w:rPr>
          <w:rFonts w:ascii="Times New Roman" w:hAnsi="Times New Roman" w:eastAsia="Times New Roman" w:cs="Times New Roman"/>
          <w:highlight w:val="yellow"/>
          <w:lang w:eastAsia="ru-RU"/>
        </w:rPr>
        <w:t xml:space="preserve">изменение к действующей независимой гарантии</w:t>
      </w:r>
      <w:r>
        <w:rPr>
          <w:rFonts w:ascii="Times New Roman" w:hAnsi="Times New Roman" w:eastAsia="Times New Roman" w:cs="Times New Roman"/>
          <w:lang w:eastAsia="ru-RU"/>
        </w:rPr>
        <w:t xml:space="preserve"> в течение 20 (двадцати) рабочих дней с даты, когда Поставщик узнал ил</w:t>
      </w:r>
      <w:r>
        <w:rPr>
          <w:rFonts w:ascii="Times New Roman" w:hAnsi="Times New Roman" w:eastAsia="Times New Roman" w:cs="Times New Roman"/>
          <w:lang w:eastAsia="ru-RU"/>
        </w:rPr>
        <w:t xml:space="preserve">и должен был узнать о несоответствии срока действия независимой гарантии требованиям, установленным пп. 2.4, 2.5 настоящего приложения,</w:t>
      </w:r>
      <w:r>
        <w:rPr>
          <w:rFonts w:ascii="Times New Roman" w:hAnsi="Times New Roman" w:eastAsia="Times New Roman" w:cs="Times New Roman"/>
          <w:b/>
          <w:i/>
        </w:rPr>
        <w:t xml:space="preserve"> </w:t>
      </w:r>
      <w:r>
        <w:rPr>
          <w:rFonts w:ascii="Times New Roman" w:hAnsi="Times New Roman" w:eastAsia="Times New Roman" w:cs="Times New Roman"/>
          <w:lang w:eastAsia="ru-RU"/>
        </w:rPr>
        <w:t xml:space="preserve">но не позднее, чем за 60 (шестьдесят) дней до даты окончания действия независимых гарантий, предоставленных по Договору.</w:t>
      </w:r>
      <w:r>
        <w:rPr>
          <w:rFonts w:ascii="Times New Roman" w:hAnsi="Times New Roman" w:eastAsia="Times New Roman" w:cs="Times New Roman"/>
          <w:lang w:eastAsia="ru-RU"/>
        </w:rPr>
        <w:t xml:space="preserve"> Новая независимая гарантия </w:t>
      </w:r>
      <w:r>
        <w:rPr>
          <w:rFonts w:ascii="Times New Roman" w:hAnsi="Times New Roman" w:eastAsia="Times New Roman" w:cs="Times New Roman"/>
          <w:highlight w:val="yellow"/>
          <w:lang w:eastAsia="ru-RU"/>
        </w:rPr>
        <w:t xml:space="preserve">в обеспечение гарантийных обязательств </w:t>
      </w:r>
      <w:r>
        <w:rPr>
          <w:rFonts w:ascii="Times New Roman" w:hAnsi="Times New Roman" w:eastAsia="Times New Roman" w:cs="Times New Roman"/>
          <w:i/>
          <w:highlight w:val="yellow"/>
          <w:lang w:eastAsia="ru-RU"/>
        </w:rPr>
        <w:t xml:space="preserve">или единая независимая гарантия</w:t>
      </w:r>
      <w:r>
        <w:rPr>
          <w:rFonts w:ascii="Times New Roman" w:hAnsi="Times New Roman" w:eastAsia="Times New Roman" w:cs="Times New Roman"/>
          <w:highlight w:val="yellow"/>
          <w:lang w:eastAsia="ru-RU"/>
        </w:rPr>
        <w:t xml:space="preserve">/ изменение к действующей независимой гарантии</w:t>
      </w:r>
      <w:r>
        <w:rPr>
          <w:rFonts w:ascii="Times New Roman" w:hAnsi="Times New Roman" w:eastAsia="Times New Roman" w:cs="Times New Roman"/>
          <w:lang w:eastAsia="ru-RU"/>
        </w:rPr>
        <w:t xml:space="preserve"> предоставляется со сроком действия, покрывающим новый гарантийный срок, а также 60 (шестьдесят) дней, следующих</w:t>
      </w:r>
      <w:r>
        <w:rPr>
          <w:rFonts w:ascii="Times New Roman" w:hAnsi="Times New Roman" w:eastAsia="Times New Roman" w:cs="Times New Roman"/>
          <w:lang w:eastAsia="ru-RU"/>
        </w:rPr>
        <w:t xml:space="preserve"> за новой датой окончания гарантийного срока в отношении всего объема, исполненного по Договору.</w:t>
      </w:r>
      <w:r>
        <w:rPr>
          <w:rFonts w:ascii="Times New Roman" w:hAnsi="Times New Roman" w:eastAsia="Times New Roman" w:cs="Times New Roman"/>
          <w:lang w:eastAsia="ru-RU"/>
        </w:rPr>
      </w:r>
    </w:p>
    <w:p>
      <w:pPr>
        <w:contextualSpacing/>
        <w:ind w:firstLine="709"/>
        <w:jc w:val="both"/>
        <w:spacing w:after="0" w:line="240" w:lineRule="auto"/>
        <w:widowControl w:val="off"/>
        <w:rPr>
          <w:rFonts w:ascii="Times New Roman" w:hAnsi="Times New Roman" w:eastAsia="Times New Roman" w:cs="Times New Roman"/>
          <w:lang w:eastAsia="ru-RU"/>
        </w:rPr>
      </w:pPr>
      <w:r>
        <w:rPr>
          <w:rFonts w:ascii="Times New Roman" w:hAnsi="Times New Roman" w:eastAsia="Times New Roman" w:cs="Times New Roman"/>
          <w:b/>
          <w:i/>
          <w:highlight w:val="yellow"/>
          <w:lang w:eastAsia="ru-RU"/>
        </w:rPr>
        <w:t xml:space="preserve">Примечание: пункт 10 приложения подлежит корректировке с учетом положений пункта 2 приложения.</w:t>
      </w:r>
      <w:r>
        <w:rPr>
          <w:rFonts w:ascii="Times New Roman" w:hAnsi="Times New Roman" w:eastAsia="Times New Roman" w:cs="Times New Roman"/>
          <w:lang w:eastAsia="ru-RU"/>
        </w:rPr>
      </w:r>
    </w:p>
    <w:p>
      <w:pPr>
        <w:ind w:firstLine="709"/>
        <w:jc w:val="both"/>
        <w:spacing w:after="0" w:line="240" w:lineRule="auto"/>
        <w:rPr>
          <w:rFonts w:ascii="Times New Roman" w:hAnsi="Times New Roman" w:cs="Times New Roman"/>
        </w:rPr>
      </w:pPr>
      <w:r>
        <w:rPr>
          <w:rFonts w:ascii="Times New Roman" w:hAnsi="Times New Roman" w:eastAsia="Times New Roman" w:cs="Times New Roman"/>
          <w:highlight w:val="yellow"/>
          <w:lang w:eastAsia="ru-RU"/>
        </w:rPr>
        <w:t xml:space="preserve">11. </w:t>
      </w:r>
      <w:r>
        <w:rPr>
          <w:rFonts w:ascii="Times New Roman" w:hAnsi="Times New Roman" w:cs="Times New Roman"/>
          <w:highlight w:val="yellow"/>
        </w:rPr>
        <w:t xml:space="preserve">В случае отзыва или приостановления лицензии Гаранта на банк</w:t>
      </w:r>
      <w:r>
        <w:rPr>
          <w:rFonts w:ascii="Times New Roman" w:hAnsi="Times New Roman" w:cs="Times New Roman"/>
          <w:highlight w:val="yellow"/>
        </w:rPr>
        <w:t xml:space="preserve">овскую деятельность </w:t>
      </w:r>
      <w:r>
        <w:rPr>
          <w:rFonts w:ascii="Times New Roman" w:hAnsi="Times New Roman" w:eastAsia="Times New Roman" w:cs="Times New Roman"/>
          <w:highlight w:val="yellow"/>
        </w:rPr>
        <w:t xml:space="preserve">или аннулирования лицензии Гаранта</w:t>
      </w:r>
      <w:r>
        <w:rPr>
          <w:rFonts w:ascii="Times New Roman" w:hAnsi="Times New Roman" w:cs="Times New Roman"/>
          <w:highlight w:val="yellow"/>
        </w:rPr>
        <w:t xml:space="preserve"> принятая независимая гарантия такого Гаранта подлежит замене. Поставщик обязуется в течение 20 (двадцати) дней с даты отзыва или приостановления лицензии банка-гаранта предоставить Покупателю новую пре</w:t>
      </w:r>
      <w:r>
        <w:rPr>
          <w:rFonts w:ascii="Times New Roman" w:hAnsi="Times New Roman" w:cs="Times New Roman"/>
          <w:highlight w:val="yellow"/>
        </w:rPr>
        <w:t xml:space="preserve">дварительно согласованную Покупателем независимую гарантию с соблюдением всех условий, предусмотренных Договором. </w:t>
      </w:r>
      <w:r>
        <w:rPr>
          <w:rFonts w:ascii="Times New Roman" w:hAnsi="Times New Roman" w:cs="Times New Roman"/>
          <w:highlight w:val="yellow"/>
          <w:vertAlign w:val="superscript"/>
        </w:rPr>
        <w:footnoteReference w:id="17"/>
      </w:r>
      <w:r>
        <w:rPr>
          <w:rFonts w:ascii="Times New Roman" w:hAnsi="Times New Roman" w:cs="Times New Roman"/>
        </w:rPr>
      </w:r>
    </w:p>
    <w:p>
      <w:pPr>
        <w:ind w:firstLine="709"/>
        <w:jc w:val="both"/>
        <w:spacing w:after="0" w:line="240" w:lineRule="auto"/>
        <w:rPr>
          <w:rFonts w:ascii="Times New Roman" w:hAnsi="Times New Roman" w:cs="Times New Roman"/>
        </w:rPr>
      </w:pPr>
      <w:r>
        <w:rPr>
          <w:rFonts w:ascii="Times New Roman" w:hAnsi="Times New Roman" w:cs="Times New Roman"/>
        </w:rPr>
        <w:t xml:space="preserve">12. В случае, если после принятия независимой гарантии Гарант перестал удовлетворять предъявляемым Покупателем </w:t>
      </w:r>
      <w:r>
        <w:rPr>
          <w:rFonts w:ascii="Times New Roman" w:hAnsi="Times New Roman" w:cs="Times New Roman"/>
          <w:highlight w:val="yellow"/>
        </w:rPr>
        <w:t xml:space="preserve">требованиям</w:t>
      </w:r>
      <w:r>
        <w:rPr>
          <w:rFonts w:ascii="Times New Roman" w:hAnsi="Times New Roman" w:cs="Times New Roman"/>
          <w:highlight w:val="yellow"/>
          <w:vertAlign w:val="superscript"/>
        </w:rPr>
        <w:footnoteReference w:id="18"/>
      </w:r>
      <w:r>
        <w:rPr>
          <w:rFonts w:ascii="Times New Roman" w:hAnsi="Times New Roman" w:cs="Times New Roman"/>
          <w:highlight w:val="yellow"/>
        </w:rPr>
        <w:t xml:space="preserve">,</w:t>
      </w:r>
      <w:r>
        <w:rPr>
          <w:rFonts w:ascii="Times New Roman" w:hAnsi="Times New Roman" w:cs="Times New Roman"/>
        </w:rPr>
        <w:t xml:space="preserve"> принятая независимая гарантия такого Гаранта подлежит замене. Поставщик обязуется в течение 20 (двадцати) дней с даты получения требования Покупателя о замене независимой гарантии предоставить Покупателю новую предварительно согласованную Покупателем неза</w:t>
      </w:r>
      <w:r>
        <w:rPr>
          <w:rFonts w:ascii="Times New Roman" w:hAnsi="Times New Roman" w:cs="Times New Roman"/>
        </w:rPr>
        <w:t xml:space="preserve">висимую гарантию с соблюдением всех условий, предусмотренных Договором.</w:t>
      </w:r>
      <w:r>
        <w:rPr>
          <w:rFonts w:ascii="Times New Roman" w:hAnsi="Times New Roman" w:cs="Times New Roman"/>
        </w:rPr>
      </w:r>
    </w:p>
    <w:p>
      <w:pPr>
        <w:contextualSpacing/>
        <w:ind w:firstLine="585"/>
        <w:jc w:val="both"/>
        <w:spacing w:after="0" w:line="240" w:lineRule="auto"/>
        <w:widowControl w:val="off"/>
        <w:rPr>
          <w:rFonts w:ascii="Times New Roman" w:hAnsi="Times New Roman" w:eastAsia="Times New Roman" w:cs="Times New Roman"/>
          <w:lang w:eastAsia="ru-RU"/>
        </w:rPr>
      </w:pPr>
      <w:r>
        <w:rPr>
          <w:rFonts w:ascii="Times New Roman" w:hAnsi="Times New Roman" w:eastAsia="Times New Roman" w:cs="Times New Roman"/>
          <w:lang w:eastAsia="ru-RU"/>
        </w:rPr>
        <w:t xml:space="preserve">13. Условия независимых гарантий, предоставляемых Поставщиком по Договору, должны предусматривать осуществление выплаты Покупателю при любом нарушении Поставщиком обязательств по Догов</w:t>
      </w:r>
      <w:r>
        <w:rPr>
          <w:rFonts w:ascii="Times New Roman" w:hAnsi="Times New Roman" w:eastAsia="Times New Roman" w:cs="Times New Roman"/>
          <w:lang w:eastAsia="ru-RU"/>
        </w:rPr>
        <w:t xml:space="preserve">ору в объеме, определяемом требованием Покупателя к Гаранту, и в пределах установленной гарантийной суммы. </w:t>
      </w:r>
      <w:r>
        <w:rPr>
          <w:rFonts w:ascii="Times New Roman" w:hAnsi="Times New Roman" w:eastAsia="Times New Roman" w:cs="Times New Roman"/>
          <w:lang w:eastAsia="ru-RU"/>
        </w:rPr>
      </w:r>
    </w:p>
    <w:p>
      <w:pPr>
        <w:contextualSpacing/>
        <w:ind w:firstLine="585"/>
        <w:jc w:val="both"/>
        <w:spacing w:after="0" w:line="240" w:lineRule="auto"/>
        <w:widowControl w:val="off"/>
        <w:rPr>
          <w:rFonts w:ascii="Times New Roman" w:hAnsi="Times New Roman" w:eastAsia="Times New Roman" w:cs="Times New Roman"/>
          <w:lang w:eastAsia="ru-RU"/>
        </w:rPr>
      </w:pPr>
      <w:r>
        <w:rPr>
          <w:rFonts w:ascii="Times New Roman" w:hAnsi="Times New Roman" w:eastAsia="Times New Roman" w:cs="Times New Roman"/>
          <w:lang w:eastAsia="ru-RU"/>
        </w:rPr>
        <w:t xml:space="preserve">Предоставляемые независимые гарантии должны предусматривать безусловное осуществление выплаты Покупателю по его письменному требованию, без предоста</w:t>
      </w:r>
      <w:r>
        <w:rPr>
          <w:rFonts w:ascii="Times New Roman" w:hAnsi="Times New Roman" w:eastAsia="Times New Roman" w:cs="Times New Roman"/>
          <w:lang w:eastAsia="ru-RU"/>
        </w:rPr>
        <w:t xml:space="preserve">вления доказательств нарушения Поставщиком договорных обязательств. </w:t>
      </w:r>
      <w:r>
        <w:rPr>
          <w:rFonts w:ascii="Times New Roman" w:hAnsi="Times New Roman" w:eastAsia="Times New Roman" w:cs="Times New Roman"/>
          <w:lang w:eastAsia="ru-RU"/>
        </w:rPr>
      </w:r>
    </w:p>
    <w:p>
      <w:pPr>
        <w:contextualSpacing/>
        <w:ind w:firstLine="585"/>
        <w:jc w:val="both"/>
        <w:spacing w:after="0" w:line="240" w:lineRule="auto"/>
        <w:widowControl w:val="off"/>
        <w:rPr>
          <w:rFonts w:ascii="Times New Roman" w:hAnsi="Times New Roman" w:eastAsia="Times New Roman" w:cs="Times New Roman"/>
          <w:i/>
          <w:iCs/>
          <w:lang w:eastAsia="ru-RU"/>
        </w:rPr>
      </w:pPr>
      <w:r>
        <w:rPr>
          <w:rFonts w:ascii="Times New Roman" w:hAnsi="Times New Roman" w:eastAsia="Times New Roman" w:cs="Times New Roman"/>
          <w:lang w:eastAsia="ru-RU"/>
        </w:rPr>
        <w:t xml:space="preserve">14. По согласованию с Покупателем допускается предоставление независимых гарантий со сроком действия менее предусмотренного п. 2 настоящего приложения, но не менее 1 (одного) года с даты </w:t>
      </w:r>
      <w:r>
        <w:rPr>
          <w:rFonts w:ascii="Times New Roman" w:hAnsi="Times New Roman" w:eastAsia="Times New Roman" w:cs="Times New Roman"/>
          <w:lang w:eastAsia="ru-RU"/>
        </w:rPr>
        <w:t xml:space="preserve">начала действия независимых гарантий. В этом случае Поставщик обязан обеспечить замену предоставленных независимых гарантий в срок не позднее, чем за 60 (шестьдесят) дней до окончания их срока действия.</w:t>
      </w:r>
      <w:r>
        <w:rPr>
          <w:rFonts w:ascii="Times New Roman" w:hAnsi="Times New Roman" w:eastAsia="Times New Roman" w:cs="Times New Roman"/>
          <w:i/>
          <w:iCs/>
          <w:lang w:eastAsia="ru-RU"/>
        </w:rPr>
      </w:r>
    </w:p>
    <w:p>
      <w:pPr>
        <w:contextualSpacing/>
        <w:ind w:firstLine="585"/>
        <w:jc w:val="both"/>
        <w:spacing w:after="0" w:line="240" w:lineRule="auto"/>
        <w:widowControl w:val="off"/>
        <w:rPr>
          <w:rFonts w:ascii="Times New Roman" w:hAnsi="Times New Roman" w:eastAsia="Times New Roman" w:cs="Times New Roman"/>
          <w:i/>
          <w:iCs/>
          <w:lang w:eastAsia="ru-RU"/>
        </w:rPr>
      </w:pPr>
      <w:r>
        <w:rPr>
          <w:rFonts w:ascii="Times New Roman" w:hAnsi="Times New Roman" w:eastAsia="Times New Roman" w:cs="Times New Roman"/>
          <w:lang w:eastAsia="ru-RU"/>
        </w:rPr>
        <w:t xml:space="preserve">15. Оригиналы независимых гарантий передаются между у</w:t>
      </w:r>
      <w:r>
        <w:rPr>
          <w:rFonts w:ascii="Times New Roman" w:hAnsi="Times New Roman" w:eastAsia="Times New Roman" w:cs="Times New Roman"/>
          <w:lang w:eastAsia="ru-RU"/>
        </w:rPr>
        <w:t xml:space="preserve">полномоченными представителями Сторон с оформлением соответствующих актов приема-передачи. Датой исполнения обязательств Поставщика по предоставлению либо замене независимой гарантии является дата акта приема-передачи, подтверждающего принятие независимой </w:t>
      </w:r>
      <w:r>
        <w:rPr>
          <w:rFonts w:ascii="Times New Roman" w:hAnsi="Times New Roman" w:eastAsia="Times New Roman" w:cs="Times New Roman"/>
          <w:lang w:eastAsia="ru-RU"/>
        </w:rPr>
        <w:t xml:space="preserve">гарантии уполномоченным представителем Покупателя.</w:t>
      </w:r>
      <w:r>
        <w:rPr>
          <w:rFonts w:ascii="Times New Roman" w:hAnsi="Times New Roman" w:eastAsia="Times New Roman" w:cs="Times New Roman"/>
          <w:i/>
          <w:iCs/>
          <w:lang w:eastAsia="ru-RU"/>
        </w:rPr>
      </w:r>
    </w:p>
    <w:p>
      <w:pPr>
        <w:contextualSpacing/>
        <w:ind w:firstLine="709"/>
        <w:jc w:val="both"/>
        <w:spacing w:after="0" w:line="240" w:lineRule="auto"/>
        <w:widowControl w:val="off"/>
        <w:rPr>
          <w:rFonts w:ascii="Times New Roman" w:hAnsi="Times New Roman" w:eastAsia="Times New Roman" w:cs="Times New Roman"/>
          <w:lang w:eastAsia="ru-RU"/>
        </w:rPr>
      </w:pPr>
      <w:r>
        <w:rPr>
          <w:rFonts w:ascii="Times New Roman" w:hAnsi="Times New Roman" w:eastAsia="Times New Roman" w:cs="Times New Roman"/>
          <w:lang w:eastAsia="ru-RU"/>
        </w:rPr>
        <w:t xml:space="preserve">16. В случае замены Поставщиком независимой гарантии другой независимой гарантией или иным способом обеспечения в порядке и случаях, предусмотренных настоящим Договором, ранее предоставленная независимая г</w:t>
      </w:r>
      <w:r>
        <w:rPr>
          <w:rFonts w:ascii="Times New Roman" w:hAnsi="Times New Roman" w:eastAsia="Times New Roman" w:cs="Times New Roman"/>
          <w:lang w:eastAsia="ru-RU"/>
        </w:rPr>
        <w:t xml:space="preserve">арантия возвращается Поставщику в течение 15 (пятнадцати) рабочих дней с даты получения Покупателем письменного запроса Поставщика на возврат независимой гарантии, но не ранее предоставления Поставщиком оригинала новой предварительно согласованной Покупате</w:t>
      </w:r>
      <w:r>
        <w:rPr>
          <w:rFonts w:ascii="Times New Roman" w:hAnsi="Times New Roman" w:eastAsia="Times New Roman" w:cs="Times New Roman"/>
          <w:lang w:eastAsia="ru-RU"/>
        </w:rPr>
        <w:t xml:space="preserve">лем независимой гарантии либо иного способа обеспечения обязательств, предусмотренного настоящим Договором.</w:t>
      </w:r>
      <w:r>
        <w:rPr>
          <w:rFonts w:ascii="Times New Roman" w:hAnsi="Times New Roman" w:eastAsia="Times New Roman" w:cs="Times New Roman"/>
          <w:lang w:eastAsia="ru-RU"/>
        </w:rPr>
      </w:r>
    </w:p>
    <w:p>
      <w:pPr>
        <w:contextualSpacing/>
        <w:ind w:firstLine="709"/>
        <w:jc w:val="both"/>
        <w:spacing w:after="0" w:line="240" w:lineRule="auto"/>
        <w:widowControl w:val="off"/>
        <w:rPr>
          <w:rFonts w:ascii="Times New Roman" w:hAnsi="Times New Roman" w:eastAsia="Times New Roman" w:cs="Times New Roman"/>
          <w:lang w:eastAsia="ru-RU"/>
        </w:rPr>
      </w:pPr>
      <w:r>
        <w:rPr>
          <w:rFonts w:ascii="Times New Roman" w:hAnsi="Times New Roman" w:eastAsia="Times New Roman" w:cs="Times New Roman"/>
          <w:lang w:eastAsia="ru-RU"/>
        </w:rPr>
        <w:t xml:space="preserve">17. Если Покупатель не предъявлял требования Гаранту о платеже по независимой гарантии на возврат авансовых платежей, такая независимая гарантия под</w:t>
      </w:r>
      <w:r>
        <w:rPr>
          <w:rFonts w:ascii="Times New Roman" w:hAnsi="Times New Roman" w:eastAsia="Times New Roman" w:cs="Times New Roman"/>
          <w:lang w:eastAsia="ru-RU"/>
        </w:rPr>
        <w:t xml:space="preserve">лежит возврату Поставщику после погашения авансовых платежей в полном объеме в течение 15 (пятнадцати) рабочих дней с даты получения Покупателем письменного запроса Поставщика на возврат независимой гарантии.</w:t>
      </w:r>
      <w:r>
        <w:rPr>
          <w:rFonts w:ascii="Times New Roman" w:hAnsi="Times New Roman" w:eastAsia="Times New Roman" w:cs="Times New Roman"/>
          <w:lang w:eastAsia="ru-RU"/>
        </w:rPr>
      </w:r>
    </w:p>
    <w:p>
      <w:pPr>
        <w:contextualSpacing/>
        <w:ind w:firstLine="709"/>
        <w:jc w:val="both"/>
        <w:spacing w:after="0" w:line="240" w:lineRule="auto"/>
        <w:widowControl w:val="off"/>
        <w:rPr>
          <w:rFonts w:ascii="Times New Roman" w:hAnsi="Times New Roman" w:eastAsia="Times New Roman" w:cs="Times New Roman"/>
          <w:lang w:eastAsia="ru-RU"/>
        </w:rPr>
      </w:pPr>
      <w:r>
        <w:rPr>
          <w:rFonts w:ascii="Times New Roman" w:hAnsi="Times New Roman" w:eastAsia="Times New Roman" w:cs="Times New Roman"/>
          <w:highlight w:val="yellow"/>
          <w:lang w:eastAsia="ru-RU"/>
        </w:rPr>
        <w:t xml:space="preserve">Если Покупатель не предъявлял требования Гарант</w:t>
      </w:r>
      <w:r>
        <w:rPr>
          <w:rFonts w:ascii="Times New Roman" w:hAnsi="Times New Roman" w:eastAsia="Times New Roman" w:cs="Times New Roman"/>
          <w:highlight w:val="yellow"/>
          <w:lang w:eastAsia="ru-RU"/>
        </w:rPr>
        <w:t xml:space="preserve">у о платеже по независимой гарантии на исполнение Поставщиком обязательств по Договору, такая независимая гарантия подлежит возврату Поставщику </w:t>
      </w:r>
      <w:r>
        <w:rPr>
          <w:rFonts w:ascii="Times New Roman" w:hAnsi="Times New Roman" w:eastAsia="Times New Roman" w:cs="Times New Roman"/>
          <w:i/>
          <w:highlight w:val="yellow"/>
          <w:lang w:eastAsia="ru-RU"/>
        </w:rPr>
        <w:t xml:space="preserve">после подписания Сторонами последнего Документа о приемке Товара/ актов оказания дополнительных услуг (в случае </w:t>
      </w:r>
      <w:r>
        <w:rPr>
          <w:rFonts w:ascii="Times New Roman" w:hAnsi="Times New Roman" w:eastAsia="Times New Roman" w:cs="Times New Roman"/>
          <w:i/>
          <w:highlight w:val="yellow"/>
          <w:lang w:eastAsia="ru-RU"/>
        </w:rPr>
        <w:t xml:space="preserve">наличия соответствующих услуг в предмете Договора) в течение 15 (пятнадцати) рабочих дней с даты получения Покупателем письменного запроса Поставщика на возврат независимой гарантии, при условии погашения авансовых платежей в полном объеме и исполнения Пос</w:t>
      </w:r>
      <w:r>
        <w:rPr>
          <w:rFonts w:ascii="Times New Roman" w:hAnsi="Times New Roman" w:eastAsia="Times New Roman" w:cs="Times New Roman"/>
          <w:i/>
          <w:highlight w:val="yellow"/>
          <w:lang w:eastAsia="ru-RU"/>
        </w:rPr>
        <w:t xml:space="preserve">тавщиком обязательств по предоставлению Покупателю обеспечения гарантийных обязательств в соответствии с условиями настоящего Договора* (*в случае применения варианта б) пункта 2.1 - после погашения авансовых платежей в полном объеме в течение 15 (пятнадца</w:t>
      </w:r>
      <w:r>
        <w:rPr>
          <w:rFonts w:ascii="Times New Roman" w:hAnsi="Times New Roman" w:eastAsia="Times New Roman" w:cs="Times New Roman"/>
          <w:i/>
          <w:highlight w:val="yellow"/>
          <w:lang w:eastAsia="ru-RU"/>
        </w:rPr>
        <w:t xml:space="preserve">ти) рабочих дней с даты получения Покупателем письменного запроса Поставщика на возврат независимой гарантии).</w:t>
      </w:r>
      <w:r>
        <w:rPr>
          <w:rFonts w:ascii="Times New Roman" w:hAnsi="Times New Roman" w:eastAsia="Times New Roman" w:cs="Times New Roman"/>
          <w:lang w:eastAsia="ru-RU"/>
        </w:rPr>
      </w:r>
    </w:p>
    <w:p>
      <w:pPr>
        <w:contextualSpacing/>
        <w:ind w:firstLine="709"/>
        <w:jc w:val="both"/>
        <w:spacing w:after="0" w:line="240" w:lineRule="auto"/>
        <w:widowControl w:val="off"/>
        <w:rPr>
          <w:rFonts w:ascii="Times New Roman" w:hAnsi="Times New Roman" w:eastAsia="Times New Roman" w:cs="Times New Roman"/>
          <w:lang w:eastAsia="ru-RU"/>
        </w:rPr>
      </w:pPr>
      <w:r>
        <w:rPr>
          <w:rFonts w:ascii="Times New Roman" w:hAnsi="Times New Roman" w:eastAsia="Times New Roman" w:cs="Times New Roman"/>
          <w:lang w:eastAsia="ru-RU"/>
        </w:rPr>
        <w:t xml:space="preserve">Если Покупатель не предъявлял требования Гаранту о платеже по единой независимой гарантии, такая независимая гарантия подлежит возврату Поставщик</w:t>
      </w:r>
      <w:r>
        <w:rPr>
          <w:rFonts w:ascii="Times New Roman" w:hAnsi="Times New Roman" w:eastAsia="Times New Roman" w:cs="Times New Roman"/>
          <w:lang w:eastAsia="ru-RU"/>
        </w:rPr>
        <w:t xml:space="preserve">у </w:t>
      </w:r>
      <w:r>
        <w:rPr>
          <w:rFonts w:ascii="Times New Roman" w:hAnsi="Times New Roman" w:eastAsia="Times New Roman" w:cs="Times New Roman"/>
          <w:iCs/>
          <w:lang w:eastAsia="ru-RU"/>
        </w:rPr>
        <w:t xml:space="preserve">после окончания гарантийного срока</w:t>
      </w:r>
      <w:r>
        <w:rPr>
          <w:rFonts w:ascii="Times New Roman" w:hAnsi="Times New Roman" w:eastAsia="Times New Roman" w:cs="Times New Roman"/>
          <w:lang w:eastAsia="ru-RU"/>
        </w:rPr>
        <w:t xml:space="preserve"> и подписания сторонами протокола об отсутствии взаимных претензий</w:t>
      </w:r>
      <w:r>
        <w:rPr>
          <w:rFonts w:ascii="Times New Roman" w:hAnsi="Times New Roman" w:eastAsia="Times New Roman" w:cs="Times New Roman"/>
          <w:iCs/>
          <w:lang w:eastAsia="ru-RU"/>
        </w:rPr>
        <w:t xml:space="preserve"> </w:t>
      </w:r>
      <w:r>
        <w:rPr>
          <w:rFonts w:ascii="Times New Roman" w:hAnsi="Times New Roman" w:eastAsia="Times New Roman" w:cs="Times New Roman"/>
          <w:lang w:eastAsia="ru-RU"/>
        </w:rPr>
        <w:t xml:space="preserve">в течение 15 (пятнадцати) рабочих дней с даты получения Покупателем письменного запроса Поставщика на возврат независимой гарантии.</w:t>
      </w:r>
      <w:r>
        <w:rPr>
          <w:rFonts w:ascii="Times New Roman" w:hAnsi="Times New Roman" w:eastAsia="Times New Roman" w:cs="Times New Roman"/>
          <w:lang w:eastAsia="ru-RU"/>
        </w:rPr>
      </w:r>
    </w:p>
    <w:p>
      <w:pPr>
        <w:contextualSpacing/>
        <w:ind w:firstLine="709"/>
        <w:jc w:val="both"/>
        <w:spacing w:after="0" w:line="240" w:lineRule="auto"/>
        <w:widowControl w:val="off"/>
        <w:rPr>
          <w:rFonts w:ascii="Times New Roman" w:hAnsi="Times New Roman" w:eastAsia="Times New Roman" w:cs="Times New Roman"/>
          <w:lang w:eastAsia="ru-RU"/>
        </w:rPr>
      </w:pPr>
      <w:r>
        <w:rPr>
          <w:rFonts w:ascii="Times New Roman" w:hAnsi="Times New Roman" w:eastAsia="Times New Roman" w:cs="Times New Roman"/>
          <w:lang w:eastAsia="ru-RU"/>
        </w:rPr>
        <w:t xml:space="preserve">Если Покупатель не пр</w:t>
      </w:r>
      <w:r>
        <w:rPr>
          <w:rFonts w:ascii="Times New Roman" w:hAnsi="Times New Roman" w:eastAsia="Times New Roman" w:cs="Times New Roman"/>
          <w:lang w:eastAsia="ru-RU"/>
        </w:rPr>
        <w:t xml:space="preserve">едъявлял требования Гаранту о платеже по независимой гарантии на обеспечение гарантийных обязательств, такая независимая гарантия подлежит возврату Поставщику после окончания гарантийного срока и подписания сторонами протокола об отсутствии взаимных претен</w:t>
      </w:r>
      <w:r>
        <w:rPr>
          <w:rFonts w:ascii="Times New Roman" w:hAnsi="Times New Roman" w:eastAsia="Times New Roman" w:cs="Times New Roman"/>
          <w:lang w:eastAsia="ru-RU"/>
        </w:rPr>
        <w:t xml:space="preserve">зий в течение 15 (пятнадцати) рабочих дней с даты получения Покупателем письменного запроса Поставщика на возврат независимой гарантии.</w:t>
      </w:r>
      <w:r>
        <w:rPr>
          <w:rFonts w:ascii="Times New Roman" w:hAnsi="Times New Roman" w:eastAsia="Times New Roman" w:cs="Times New Roman"/>
          <w:lang w:eastAsia="ru-RU"/>
        </w:rPr>
      </w:r>
    </w:p>
    <w:p>
      <w:pPr>
        <w:contextualSpacing/>
        <w:ind w:firstLine="709"/>
        <w:jc w:val="both"/>
        <w:spacing w:after="0" w:line="240" w:lineRule="auto"/>
        <w:widowControl w:val="off"/>
        <w:rPr>
          <w:rFonts w:ascii="Times New Roman" w:hAnsi="Times New Roman" w:eastAsia="Times New Roman" w:cs="Times New Roman"/>
          <w:lang w:eastAsia="ru-RU"/>
        </w:rPr>
      </w:pPr>
      <w:r>
        <w:rPr>
          <w:rFonts w:ascii="Times New Roman" w:hAnsi="Times New Roman" w:eastAsia="Times New Roman" w:cs="Times New Roman"/>
          <w:b/>
          <w:i/>
          <w:highlight w:val="yellow"/>
          <w:lang w:eastAsia="ru-RU"/>
        </w:rPr>
        <w:t xml:space="preserve">Примечание: пункт 17 приложения подлежит корректировке с учетом положений пункта 2 приложения.</w:t>
      </w:r>
      <w:r>
        <w:rPr>
          <w:rFonts w:ascii="Times New Roman" w:hAnsi="Times New Roman" w:eastAsia="Times New Roman" w:cs="Times New Roman"/>
          <w:lang w:eastAsia="ru-RU"/>
        </w:rPr>
      </w:r>
    </w:p>
    <w:p>
      <w:pPr>
        <w:contextualSpacing/>
        <w:ind w:firstLine="709"/>
        <w:jc w:val="both"/>
        <w:spacing w:after="0" w:line="240" w:lineRule="auto"/>
        <w:widowControl w:val="off"/>
        <w:rPr>
          <w:rFonts w:ascii="Times New Roman" w:hAnsi="Times New Roman" w:eastAsia="Times New Roman" w:cs="Times New Roman"/>
          <w:lang w:eastAsia="ru-RU"/>
        </w:rPr>
      </w:pPr>
      <w:r>
        <w:rPr>
          <w:rFonts w:ascii="Times New Roman" w:hAnsi="Times New Roman" w:eastAsia="Times New Roman" w:cs="Times New Roman"/>
          <w:lang w:eastAsia="ru-RU"/>
        </w:rPr>
        <w:t xml:space="preserve">18. </w:t>
      </w:r>
      <w:r>
        <w:rPr>
          <w:rFonts w:ascii="Times New Roman" w:hAnsi="Times New Roman" w:eastAsia="Times New Roman" w:cs="Times New Roman"/>
          <w:b/>
          <w:i/>
          <w:iCs/>
          <w:lang w:eastAsia="ru-RU"/>
        </w:rPr>
        <w:t xml:space="preserve">(пункт не применяется</w:t>
      </w:r>
      <w:r>
        <w:rPr>
          <w:rFonts w:ascii="Times New Roman" w:hAnsi="Times New Roman" w:eastAsia="Times New Roman" w:cs="Times New Roman"/>
          <w:b/>
          <w:i/>
          <w:iCs/>
          <w:lang w:eastAsia="ru-RU"/>
        </w:rPr>
        <w:t xml:space="preserve"> для договоров, заключаемых по результатам </w:t>
      </w:r>
      <w:r>
        <w:rPr>
          <w:rFonts w:ascii="Times New Roman" w:hAnsi="Times New Roman" w:eastAsia="Times New Roman" w:cs="Times New Roman"/>
          <w:b/>
          <w:i/>
          <w:iCs/>
          <w:highlight w:val="yellow"/>
          <w:lang w:eastAsia="ru-RU"/>
        </w:rPr>
        <w:t xml:space="preserve">конкурентной</w:t>
      </w:r>
      <w:r>
        <w:rPr>
          <w:rFonts w:ascii="Times New Roman" w:hAnsi="Times New Roman" w:eastAsia="Times New Roman" w:cs="Times New Roman"/>
          <w:b/>
          <w:i/>
          <w:iCs/>
          <w:lang w:eastAsia="ru-RU"/>
        </w:rPr>
        <w:t xml:space="preserve"> закупки, участниками которой могут быть только субъекты МСП)</w:t>
      </w:r>
      <w:r>
        <w:rPr>
          <w:rFonts w:ascii="Times New Roman" w:hAnsi="Times New Roman" w:eastAsia="Times New Roman" w:cs="Times New Roman"/>
          <w:lang w:eastAsia="ru-RU"/>
        </w:rPr>
        <w:t xml:space="preserve"> </w:t>
      </w:r>
      <w:r>
        <w:rPr>
          <w:rFonts w:ascii="Times New Roman" w:hAnsi="Times New Roman" w:eastAsia="Times New Roman" w:cs="Times New Roman"/>
          <w:lang w:eastAsia="ru-RU"/>
        </w:rPr>
      </w:r>
    </w:p>
    <w:p>
      <w:pPr>
        <w:contextualSpacing/>
        <w:ind w:firstLine="709"/>
        <w:jc w:val="both"/>
        <w:spacing w:after="0" w:line="240" w:lineRule="auto"/>
        <w:widowControl w:val="off"/>
        <w:rPr>
          <w:rFonts w:ascii="Times New Roman" w:hAnsi="Times New Roman" w:eastAsia="Times New Roman" w:cs="Times New Roman"/>
          <w:lang w:eastAsia="ru-RU"/>
        </w:rPr>
      </w:pPr>
      <w:r>
        <w:rPr>
          <w:rFonts w:ascii="Times New Roman" w:hAnsi="Times New Roman" w:eastAsia="Times New Roman" w:cs="Times New Roman"/>
          <w:lang w:eastAsia="ru-RU"/>
        </w:rPr>
        <w:t xml:space="preserve">Поставщик вправе предоставить в качестве обеспечения исполнения обязательств по Договору и обеспечения исполнения гарантийных обязательств</w:t>
      </w:r>
      <w:r>
        <w:rPr>
          <w:rFonts w:ascii="Times New Roman" w:hAnsi="Times New Roman" w:eastAsia="Times New Roman" w:cs="Times New Roman"/>
          <w:lang w:eastAsia="ru-RU"/>
        </w:rPr>
        <w:t xml:space="preserve"> по настоящему Договору </w:t>
      </w:r>
      <w:r>
        <w:rPr>
          <w:rFonts w:ascii="Times New Roman" w:hAnsi="Times New Roman" w:eastAsia="Times New Roman" w:cs="Times New Roman"/>
          <w:b/>
          <w:lang w:eastAsia="ru-RU"/>
        </w:rPr>
        <w:t xml:space="preserve">гарантийный депозит</w:t>
      </w:r>
      <w:r>
        <w:rPr>
          <w:rFonts w:ascii="Times New Roman" w:hAnsi="Times New Roman" w:eastAsia="Times New Roman" w:cs="Times New Roman"/>
          <w:lang w:eastAsia="ru-RU"/>
        </w:rPr>
        <w:t xml:space="preserve">, заключив с Покупателем Соглашение о гарантийном депозите, по форме приложения 10.5. к </w:t>
      </w:r>
      <w:r>
        <w:rPr>
          <w:rFonts w:ascii="Times New Roman" w:hAnsi="Times New Roman" w:eastAsia="Times New Roman" w:cs="Times New Roman"/>
          <w:highlight w:val="yellow"/>
          <w:lang w:eastAsia="ru-RU"/>
        </w:rPr>
        <w:t xml:space="preserve">Договору</w:t>
      </w:r>
      <w:r>
        <w:rPr>
          <w:rFonts w:ascii="Times New Roman" w:hAnsi="Times New Roman" w:eastAsia="Times New Roman" w:cs="Times New Roman"/>
          <w:lang w:eastAsia="ru-RU"/>
        </w:rPr>
        <w:t xml:space="preserve"> Гарантийный депозит формируется в размере 10% от цены Договора. При этом до формирования гарантийного депозита в полном объеме (не менее 10% от цены Договора) гарантийный депозит не может быть единственным способом обеспечения исполнения обязательств по Д</w:t>
      </w:r>
      <w:r>
        <w:rPr>
          <w:rFonts w:ascii="Times New Roman" w:hAnsi="Times New Roman" w:eastAsia="Times New Roman" w:cs="Times New Roman"/>
          <w:lang w:eastAsia="ru-RU"/>
        </w:rPr>
        <w:t xml:space="preserve">оговору.</w:t>
      </w:r>
      <w:r>
        <w:rPr>
          <w:rFonts w:ascii="Times New Roman" w:hAnsi="Times New Roman" w:eastAsia="Times New Roman" w:cs="Times New Roman"/>
          <w:lang w:eastAsia="ru-RU"/>
        </w:rPr>
      </w:r>
    </w:p>
    <w:p>
      <w:pPr>
        <w:contextualSpacing/>
        <w:ind w:firstLine="709"/>
        <w:jc w:val="both"/>
        <w:spacing w:after="0" w:line="240" w:lineRule="auto"/>
        <w:widowControl w:val="off"/>
        <w:rPr>
          <w:rFonts w:ascii="Times New Roman" w:hAnsi="Times New Roman" w:eastAsia="Times New Roman" w:cs="Times New Roman"/>
          <w:lang w:eastAsia="ru-RU"/>
        </w:rPr>
      </w:pPr>
      <w:r>
        <w:rPr>
          <w:rFonts w:ascii="Times New Roman" w:hAnsi="Times New Roman" w:eastAsia="Times New Roman" w:cs="Times New Roman"/>
          <w:lang w:eastAsia="ru-RU"/>
        </w:rPr>
        <w:t xml:space="preserve">18.1. Поставщик направляет Покупателю письменное обращение о заключении Соглашения о гарантийном депозите.</w:t>
      </w:r>
      <w:r>
        <w:rPr>
          <w:rFonts w:ascii="Times New Roman" w:hAnsi="Times New Roman" w:eastAsia="Times New Roman" w:cs="Times New Roman"/>
          <w:lang w:eastAsia="ru-RU"/>
        </w:rPr>
      </w:r>
    </w:p>
    <w:p>
      <w:pPr>
        <w:contextualSpacing/>
        <w:ind w:firstLine="709"/>
        <w:jc w:val="both"/>
        <w:spacing w:after="0" w:line="240" w:lineRule="auto"/>
        <w:widowControl w:val="off"/>
        <w:rPr>
          <w:rFonts w:ascii="Times New Roman" w:hAnsi="Times New Roman" w:eastAsia="Times New Roman" w:cs="Times New Roman"/>
          <w:bCs/>
          <w:lang w:eastAsia="ru-RU"/>
        </w:rPr>
      </w:pPr>
      <w:r>
        <w:rPr>
          <w:rFonts w:ascii="Times New Roman" w:hAnsi="Times New Roman" w:eastAsia="Times New Roman" w:cs="Times New Roman"/>
          <w:lang w:eastAsia="ru-RU"/>
        </w:rPr>
        <w:t xml:space="preserve">18.2. Соглашение о гарантийном депозите может быть подписано одновременно с </w:t>
      </w:r>
      <w:r>
        <w:rPr>
          <w:rFonts w:ascii="Times New Roman" w:hAnsi="Times New Roman" w:eastAsia="Times New Roman" w:cs="Times New Roman"/>
          <w:bCs/>
          <w:lang w:eastAsia="ru-RU"/>
        </w:rPr>
        <w:t xml:space="preserve">настоящим Договором.</w:t>
      </w:r>
      <w:r>
        <w:rPr>
          <w:rFonts w:ascii="Times New Roman" w:hAnsi="Times New Roman" w:eastAsia="Times New Roman" w:cs="Times New Roman"/>
          <w:bCs/>
          <w:lang w:eastAsia="ru-RU"/>
        </w:rPr>
      </w:r>
    </w:p>
    <w:p>
      <w:pPr>
        <w:ind w:firstLine="709"/>
        <w:jc w:val="both"/>
        <w:spacing w:after="0" w:line="240" w:lineRule="auto"/>
        <w:rPr>
          <w:rFonts w:ascii="Times New Roman" w:hAnsi="Times New Roman" w:cs="Times New Roman"/>
        </w:rPr>
      </w:pPr>
      <w:r>
        <w:rPr>
          <w:rFonts w:ascii="Times New Roman" w:hAnsi="Times New Roman" w:cs="Times New Roman"/>
        </w:rPr>
        <w:t xml:space="preserve">18.3. Гарантийный депозит формируется по соглашению Сторон, в соответствии с которым Поставщик не возражает против удержания из платежей, причитающихся Поставщику по Договору, денежной суммы в размере не менее 10% от стоимости поставленного Товара, оказанн</w:t>
      </w:r>
      <w:r>
        <w:rPr>
          <w:rFonts w:ascii="Times New Roman" w:hAnsi="Times New Roman" w:cs="Times New Roman"/>
        </w:rPr>
        <w:t xml:space="preserve">ых услуг. При этом обязательства Покупателя по оплате поставки в части суммы гарантийного депозита считаются выполненными в полном объеме.</w:t>
      </w:r>
      <w:r>
        <w:rPr>
          <w:rFonts w:ascii="Times New Roman" w:hAnsi="Times New Roman" w:cs="Times New Roman"/>
        </w:rPr>
      </w:r>
    </w:p>
    <w:p>
      <w:pPr>
        <w:ind w:firstLine="709"/>
        <w:jc w:val="both"/>
        <w:spacing w:after="0" w:line="240" w:lineRule="auto"/>
        <w:rPr>
          <w:rFonts w:ascii="Times New Roman" w:hAnsi="Times New Roman" w:cs="Times New Roman"/>
        </w:rPr>
      </w:pPr>
      <w:r>
        <w:rPr>
          <w:rFonts w:ascii="Times New Roman" w:hAnsi="Times New Roman" w:cs="Times New Roman"/>
          <w:bCs/>
        </w:rPr>
        <w:t xml:space="preserve">18.4. </w:t>
      </w:r>
      <w:r>
        <w:rPr>
          <w:rFonts w:ascii="Times New Roman" w:hAnsi="Times New Roman" w:cs="Times New Roman"/>
        </w:rPr>
        <w:t xml:space="preserve">Гарантийный депозит в качестве способа обеспечения надлежащего исполнения Поставщиком своих обязательств примен</w:t>
      </w:r>
      <w:r>
        <w:rPr>
          <w:rFonts w:ascii="Times New Roman" w:hAnsi="Times New Roman" w:cs="Times New Roman"/>
        </w:rPr>
        <w:t xml:space="preserve">яется:</w:t>
      </w:r>
      <w:r>
        <w:rPr>
          <w:rFonts w:ascii="Times New Roman" w:hAnsi="Times New Roman" w:cs="Times New Roman"/>
        </w:rPr>
      </w:r>
    </w:p>
    <w:p>
      <w:pPr>
        <w:ind w:firstLine="709"/>
        <w:jc w:val="both"/>
        <w:spacing w:after="0" w:line="240" w:lineRule="auto"/>
        <w:rPr>
          <w:rFonts w:ascii="Times New Roman" w:hAnsi="Times New Roman" w:cs="Times New Roman"/>
        </w:rPr>
      </w:pPr>
      <w:r>
        <w:rPr>
          <w:rFonts w:ascii="Times New Roman" w:hAnsi="Times New Roman" w:cs="Times New Roman"/>
        </w:rPr>
        <w:t xml:space="preserve">- </w:t>
      </w:r>
      <w:r>
        <w:rPr>
          <w:rFonts w:ascii="Times New Roman" w:hAnsi="Times New Roman" w:cs="Times New Roman"/>
          <w:highlight w:val="yellow"/>
        </w:rPr>
        <w:t xml:space="preserve">на период исполнения Договора до даты подписания последнего Документа о приемке Товара/ </w:t>
      </w:r>
      <w:r>
        <w:rPr>
          <w:rFonts w:ascii="Times New Roman" w:hAnsi="Times New Roman" w:cs="Times New Roman"/>
          <w:i/>
          <w:highlight w:val="yellow"/>
        </w:rPr>
        <w:t xml:space="preserve">актов оказания дополнительных услуг (в случае наличия соответствующих услуг в предмете Договора)</w:t>
      </w:r>
      <w:r>
        <w:rPr>
          <w:rFonts w:ascii="Times New Roman" w:hAnsi="Times New Roman" w:cs="Times New Roman"/>
          <w:highlight w:val="yellow"/>
        </w:rPr>
        <w:t xml:space="preserve">;</w:t>
      </w:r>
      <w:r>
        <w:rPr>
          <w:rFonts w:ascii="Times New Roman" w:hAnsi="Times New Roman" w:cs="Times New Roman"/>
        </w:rPr>
      </w:r>
    </w:p>
    <w:p>
      <w:pPr>
        <w:ind w:firstLine="709"/>
        <w:jc w:val="both"/>
        <w:spacing w:after="0" w:line="240" w:lineRule="auto"/>
        <w:rPr>
          <w:rFonts w:ascii="Times New Roman" w:hAnsi="Times New Roman" w:cs="Times New Roman"/>
        </w:rPr>
      </w:pPr>
      <w:r>
        <w:rPr>
          <w:rFonts w:ascii="Times New Roman" w:hAnsi="Times New Roman" w:cs="Times New Roman"/>
        </w:rPr>
        <w:t xml:space="preserve">- на период гарантийной эксплуатации Товара до даты окончания</w:t>
      </w:r>
      <w:r>
        <w:rPr>
          <w:rFonts w:ascii="Times New Roman" w:hAnsi="Times New Roman" w:cs="Times New Roman"/>
        </w:rPr>
        <w:t xml:space="preserve"> гарантийного срока и подписания протокола об отсутствии взаимных претензий.</w:t>
      </w:r>
      <w:r>
        <w:rPr>
          <w:rFonts w:ascii="Times New Roman" w:hAnsi="Times New Roman" w:cs="Times New Roman"/>
        </w:rPr>
      </w:r>
    </w:p>
    <w:p>
      <w:pPr>
        <w:ind w:firstLine="709"/>
        <w:jc w:val="both"/>
        <w:spacing w:after="0" w:line="240" w:lineRule="auto"/>
        <w:rPr>
          <w:rFonts w:ascii="Times New Roman" w:hAnsi="Times New Roman" w:cs="Times New Roman"/>
        </w:rPr>
      </w:pPr>
      <w:r>
        <w:rPr>
          <w:rFonts w:ascii="Times New Roman" w:hAnsi="Times New Roman" w:cs="Times New Roman"/>
        </w:rPr>
        <w:t xml:space="preserve">18.5. Гарантийный депозит может быть использован Покупателем для покрытия расходов, связанных с ненадлежащим исполнением Поставщиком обязательств по Договору, в том числе, на возм</w:t>
      </w:r>
      <w:r>
        <w:rPr>
          <w:rFonts w:ascii="Times New Roman" w:hAnsi="Times New Roman" w:cs="Times New Roman"/>
        </w:rPr>
        <w:t xml:space="preserve">ещение убытков, связанных с гарантийными обязательствами.</w:t>
      </w:r>
      <w:r>
        <w:rPr>
          <w:rFonts w:ascii="Times New Roman" w:hAnsi="Times New Roman" w:cs="Times New Roman"/>
        </w:rPr>
      </w:r>
    </w:p>
    <w:p>
      <w:pPr>
        <w:ind w:firstLine="709"/>
        <w:jc w:val="both"/>
        <w:spacing w:after="0" w:line="240" w:lineRule="auto"/>
        <w:rPr>
          <w:rFonts w:ascii="Times New Roman" w:hAnsi="Times New Roman" w:cs="Times New Roman"/>
        </w:rPr>
      </w:pPr>
      <w:r>
        <w:rPr>
          <w:rFonts w:ascii="Times New Roman" w:hAnsi="Times New Roman" w:cs="Times New Roman"/>
        </w:rPr>
        <w:t xml:space="preserve">18.6. Сумма списания гарантийного депозита должна соответствовать минимальной из следующих двух величин:</w:t>
      </w:r>
      <w:r>
        <w:rPr>
          <w:rFonts w:ascii="Times New Roman" w:hAnsi="Times New Roman" w:cs="Times New Roman"/>
        </w:rPr>
      </w:r>
    </w:p>
    <w:p>
      <w:pPr>
        <w:ind w:firstLine="709"/>
        <w:jc w:val="both"/>
        <w:spacing w:after="0" w:line="240" w:lineRule="auto"/>
        <w:rPr>
          <w:rFonts w:ascii="Times New Roman" w:hAnsi="Times New Roman" w:cs="Times New Roman"/>
        </w:rPr>
      </w:pPr>
      <w:r>
        <w:rPr>
          <w:rFonts w:ascii="Times New Roman" w:hAnsi="Times New Roman" w:cs="Times New Roman"/>
          <w:spacing w:val="-4"/>
        </w:rPr>
        <w:t xml:space="preserve">- суммы неисполненных денежных обязательств Поставщика перед Покупателем, рассчитанной в соот</w:t>
      </w:r>
      <w:r>
        <w:rPr>
          <w:rFonts w:ascii="Times New Roman" w:hAnsi="Times New Roman" w:cs="Times New Roman"/>
          <w:spacing w:val="-4"/>
        </w:rPr>
        <w:t xml:space="preserve">ветствии с условиями Соглашения о гарантийном депозите</w:t>
      </w:r>
      <w:r>
        <w:rPr>
          <w:rFonts w:ascii="Times New Roman" w:hAnsi="Times New Roman" w:cs="Times New Roman"/>
        </w:rPr>
        <w:t xml:space="preserve">;</w:t>
      </w:r>
      <w:r>
        <w:rPr>
          <w:rFonts w:ascii="Times New Roman" w:hAnsi="Times New Roman" w:cs="Times New Roman"/>
        </w:rPr>
      </w:r>
    </w:p>
    <w:p>
      <w:pPr>
        <w:ind w:firstLine="708"/>
        <w:jc w:val="both"/>
        <w:spacing w:after="0" w:line="240" w:lineRule="auto"/>
        <w:rPr>
          <w:rFonts w:ascii="Times New Roman" w:hAnsi="Times New Roman" w:cs="Times New Roman"/>
        </w:rPr>
      </w:pPr>
      <w:r>
        <w:rPr>
          <w:rFonts w:ascii="Times New Roman" w:hAnsi="Times New Roman" w:cs="Times New Roman"/>
        </w:rPr>
        <w:t xml:space="preserve">- размера гарантийного депозита.</w:t>
      </w:r>
      <w:r>
        <w:rPr>
          <w:rFonts w:ascii="Times New Roman" w:hAnsi="Times New Roman" w:cs="Times New Roman"/>
        </w:rPr>
      </w:r>
    </w:p>
    <w:p>
      <w:pPr>
        <w:ind w:firstLine="708"/>
        <w:jc w:val="both"/>
        <w:spacing w:after="0" w:line="240" w:lineRule="auto"/>
        <w:rPr>
          <w:rFonts w:ascii="Times New Roman" w:hAnsi="Times New Roman" w:cs="Times New Roman"/>
        </w:rPr>
      </w:pPr>
      <w:r>
        <w:rPr>
          <w:rFonts w:ascii="Times New Roman" w:hAnsi="Times New Roman" w:cs="Times New Roman"/>
        </w:rPr>
        <w:t xml:space="preserve">18.7. Для Гарантийного депозита, предоставляемого в целях обеспечения обязательств Поставщика, в случае если Договором предусмотрена авансовая форма расчетов суммой не</w:t>
      </w:r>
      <w:r>
        <w:rPr>
          <w:rFonts w:ascii="Times New Roman" w:hAnsi="Times New Roman" w:cs="Times New Roman"/>
        </w:rPr>
        <w:t xml:space="preserve">исполненных денежных обязательств Поставщика перед Покупателем, является также непогашенная сумма авансового платежа.</w:t>
      </w:r>
      <w:r>
        <w:rPr>
          <w:rFonts w:ascii="Times New Roman" w:hAnsi="Times New Roman" w:cs="Times New Roman"/>
        </w:rPr>
      </w:r>
    </w:p>
    <w:p>
      <w:pPr>
        <w:ind w:firstLine="709"/>
        <w:jc w:val="both"/>
        <w:spacing w:after="0" w:line="240" w:lineRule="auto"/>
        <w:rPr>
          <w:rFonts w:ascii="Times New Roman" w:hAnsi="Times New Roman" w:cs="Times New Roman"/>
        </w:rPr>
      </w:pPr>
      <w:r>
        <w:rPr>
          <w:rFonts w:ascii="Times New Roman" w:hAnsi="Times New Roman" w:cs="Times New Roman"/>
        </w:rPr>
        <w:t xml:space="preserve">18.8. Для гарантийного депозита, предоставляемого в качестве обеспечения исполнения Поставщиком обязательств по договору, сумма неисполнен</w:t>
      </w:r>
      <w:r>
        <w:rPr>
          <w:rFonts w:ascii="Times New Roman" w:hAnsi="Times New Roman" w:cs="Times New Roman"/>
        </w:rPr>
        <w:t xml:space="preserve">ных денежных обязательств Поставщика перед Покупателем определяется с учетом:</w:t>
      </w:r>
      <w:r>
        <w:rPr>
          <w:rFonts w:ascii="Times New Roman" w:hAnsi="Times New Roman" w:cs="Times New Roman"/>
        </w:rPr>
      </w:r>
    </w:p>
    <w:p>
      <w:pPr>
        <w:ind w:firstLine="709"/>
        <w:jc w:val="both"/>
        <w:spacing w:after="0" w:line="240" w:lineRule="auto"/>
        <w:tabs>
          <w:tab w:val="left" w:pos="993" w:leader="none"/>
        </w:tabs>
        <w:rPr>
          <w:rFonts w:ascii="Times New Roman" w:hAnsi="Times New Roman" w:cs="Times New Roman"/>
        </w:rPr>
      </w:pPr>
      <w:r>
        <w:rPr>
          <w:rFonts w:ascii="Times New Roman" w:hAnsi="Times New Roman" w:cs="Times New Roman"/>
        </w:rPr>
        <w:t xml:space="preserve">•</w:t>
      </w:r>
      <w:r>
        <w:rPr>
          <w:rFonts w:ascii="Times New Roman" w:hAnsi="Times New Roman" w:cs="Times New Roman"/>
        </w:rPr>
        <w:tab/>
        <w:t xml:space="preserve">суммы выставленных Поставщику и неоплаченных претензий (кроме претензий, отозванных Покупателем);</w:t>
      </w:r>
      <w:r>
        <w:rPr>
          <w:rFonts w:ascii="Times New Roman" w:hAnsi="Times New Roman" w:cs="Times New Roman"/>
        </w:rPr>
      </w:r>
    </w:p>
    <w:p>
      <w:pPr>
        <w:ind w:firstLine="709"/>
        <w:jc w:val="both"/>
        <w:spacing w:after="0" w:line="240" w:lineRule="auto"/>
        <w:tabs>
          <w:tab w:val="left" w:pos="993" w:leader="none"/>
        </w:tabs>
        <w:rPr>
          <w:rFonts w:ascii="Times New Roman" w:hAnsi="Times New Roman" w:cs="Times New Roman"/>
        </w:rPr>
      </w:pPr>
      <w:r>
        <w:rPr>
          <w:rFonts w:ascii="Times New Roman" w:hAnsi="Times New Roman" w:cs="Times New Roman"/>
        </w:rPr>
        <w:t xml:space="preserve">•</w:t>
      </w:r>
      <w:r>
        <w:rPr>
          <w:rFonts w:ascii="Times New Roman" w:hAnsi="Times New Roman" w:cs="Times New Roman"/>
        </w:rPr>
        <w:tab/>
        <w:t xml:space="preserve">суммы неустойки (сверх суммы, уже учтенной в выставленных претензиях), на вз</w:t>
      </w:r>
      <w:r>
        <w:rPr>
          <w:rFonts w:ascii="Times New Roman" w:hAnsi="Times New Roman" w:cs="Times New Roman"/>
        </w:rPr>
        <w:t xml:space="preserve">ыскание которой Покупатель имеет право на основании Договора либо закона;</w:t>
      </w:r>
      <w:r>
        <w:rPr>
          <w:rFonts w:ascii="Times New Roman" w:hAnsi="Times New Roman" w:cs="Times New Roman"/>
        </w:rPr>
      </w:r>
    </w:p>
    <w:p>
      <w:pPr>
        <w:ind w:firstLine="709"/>
        <w:jc w:val="both"/>
        <w:spacing w:after="0" w:line="240" w:lineRule="auto"/>
        <w:tabs>
          <w:tab w:val="left" w:pos="993" w:leader="none"/>
        </w:tabs>
        <w:rPr>
          <w:rFonts w:ascii="Times New Roman" w:hAnsi="Times New Roman" w:cs="Times New Roman"/>
        </w:rPr>
      </w:pPr>
      <w:r>
        <w:rPr>
          <w:rFonts w:ascii="Times New Roman" w:hAnsi="Times New Roman" w:cs="Times New Roman"/>
        </w:rPr>
        <w:t xml:space="preserve">•</w:t>
      </w:r>
      <w:r>
        <w:rPr>
          <w:rFonts w:ascii="Times New Roman" w:hAnsi="Times New Roman" w:cs="Times New Roman"/>
        </w:rPr>
        <w:tab/>
        <w:t xml:space="preserve">суммы возмещения расходов (сверх суммы, уже оплаченной Поставщиком либо учтенной в выставленных претензиях), которые понес Покупатель в связи с неисполнением Поставщиком обязательс</w:t>
      </w:r>
      <w:r>
        <w:rPr>
          <w:rFonts w:ascii="Times New Roman" w:hAnsi="Times New Roman" w:cs="Times New Roman"/>
        </w:rPr>
        <w:t xml:space="preserve">тв по Договору;</w:t>
      </w:r>
      <w:r>
        <w:rPr>
          <w:rFonts w:ascii="Times New Roman" w:hAnsi="Times New Roman" w:cs="Times New Roman"/>
        </w:rPr>
      </w:r>
    </w:p>
    <w:p>
      <w:pPr>
        <w:ind w:firstLine="709"/>
        <w:jc w:val="both"/>
        <w:spacing w:after="0" w:line="240" w:lineRule="auto"/>
        <w:tabs>
          <w:tab w:val="left" w:pos="993" w:leader="none"/>
        </w:tabs>
        <w:rPr>
          <w:rFonts w:ascii="Times New Roman" w:hAnsi="Times New Roman" w:cs="Times New Roman"/>
        </w:rPr>
      </w:pPr>
      <w:r>
        <w:rPr>
          <w:rFonts w:ascii="Times New Roman" w:hAnsi="Times New Roman" w:cs="Times New Roman"/>
        </w:rPr>
        <w:t xml:space="preserve">•</w:t>
      </w:r>
      <w:r>
        <w:rPr>
          <w:rFonts w:ascii="Times New Roman" w:hAnsi="Times New Roman" w:cs="Times New Roman"/>
        </w:rPr>
        <w:tab/>
        <w:t xml:space="preserve">суммы возмещения убытков (сверх суммы, уже оплаченной Поставщиком либо учтенной в выставленных претензиях), причиненных неисполнением Поставщиком обязательств по Договору;</w:t>
      </w:r>
      <w:r>
        <w:rPr>
          <w:rFonts w:ascii="Times New Roman" w:hAnsi="Times New Roman" w:cs="Times New Roman"/>
        </w:rPr>
      </w:r>
    </w:p>
    <w:p>
      <w:pPr>
        <w:ind w:firstLine="709"/>
        <w:jc w:val="both"/>
        <w:spacing w:after="0" w:line="240" w:lineRule="auto"/>
        <w:tabs>
          <w:tab w:val="left" w:pos="993" w:leader="none"/>
        </w:tabs>
        <w:rPr>
          <w:rFonts w:ascii="Times New Roman" w:hAnsi="Times New Roman" w:cs="Times New Roman"/>
        </w:rPr>
      </w:pPr>
      <w:r>
        <w:rPr>
          <w:rFonts w:ascii="Times New Roman" w:hAnsi="Times New Roman" w:cs="Times New Roman"/>
        </w:rPr>
        <w:t xml:space="preserve">•</w:t>
      </w:r>
      <w:r>
        <w:rPr>
          <w:rFonts w:ascii="Times New Roman" w:hAnsi="Times New Roman" w:cs="Times New Roman"/>
        </w:rPr>
        <w:tab/>
        <w:t xml:space="preserve">процентов за неправомерное пользование денежными средствами Поку</w:t>
      </w:r>
      <w:r>
        <w:rPr>
          <w:rFonts w:ascii="Times New Roman" w:hAnsi="Times New Roman" w:cs="Times New Roman"/>
        </w:rPr>
        <w:t xml:space="preserve">пателя (сверх суммы, уже оплаченной Поставщиком либо учтенной в выставленных претензиях);</w:t>
      </w:r>
      <w:r>
        <w:rPr>
          <w:rFonts w:ascii="Times New Roman" w:hAnsi="Times New Roman" w:cs="Times New Roman"/>
        </w:rPr>
      </w:r>
    </w:p>
    <w:p>
      <w:pPr>
        <w:ind w:firstLine="709"/>
        <w:jc w:val="both"/>
        <w:spacing w:after="0" w:line="240" w:lineRule="auto"/>
        <w:tabs>
          <w:tab w:val="left" w:pos="993" w:leader="none"/>
        </w:tabs>
        <w:rPr>
          <w:rFonts w:ascii="Times New Roman" w:hAnsi="Times New Roman" w:cs="Times New Roman"/>
        </w:rPr>
      </w:pPr>
      <w:r>
        <w:rPr>
          <w:rFonts w:ascii="Times New Roman" w:hAnsi="Times New Roman" w:cs="Times New Roman"/>
        </w:rPr>
        <w:t xml:space="preserve">•</w:t>
      </w:r>
      <w:r>
        <w:rPr>
          <w:rFonts w:ascii="Times New Roman" w:hAnsi="Times New Roman" w:cs="Times New Roman"/>
        </w:rPr>
        <w:tab/>
        <w:t xml:space="preserve">подлежащей оплате задолженности Поставщика перед Покупателем (сверх суммы, уже оплаченной Поставщиком либо учтенной в выставленных претензиях), возникшей в связи с </w:t>
      </w:r>
      <w:r>
        <w:rPr>
          <w:rFonts w:ascii="Times New Roman" w:hAnsi="Times New Roman" w:cs="Times New Roman"/>
        </w:rPr>
        <w:t xml:space="preserve">выплатой аванса (в части, непокрытой независимой гарантией на возврат авансовых платежей по Договору) либо в связи с произошедшей переплатой по Договору в пользу Поставщика;</w:t>
      </w:r>
      <w:r>
        <w:rPr>
          <w:rFonts w:ascii="Times New Roman" w:hAnsi="Times New Roman" w:cs="Times New Roman"/>
        </w:rPr>
      </w:r>
    </w:p>
    <w:p>
      <w:pPr>
        <w:ind w:firstLine="709"/>
        <w:jc w:val="both"/>
        <w:spacing w:after="0" w:line="240" w:lineRule="auto"/>
        <w:tabs>
          <w:tab w:val="left" w:pos="993" w:leader="none"/>
        </w:tabs>
        <w:rPr>
          <w:rFonts w:ascii="Times New Roman" w:hAnsi="Times New Roman" w:cs="Times New Roman"/>
        </w:rPr>
      </w:pPr>
      <w:r>
        <w:rPr>
          <w:rFonts w:ascii="Times New Roman" w:hAnsi="Times New Roman" w:cs="Times New Roman"/>
        </w:rPr>
        <w:t xml:space="preserve">•</w:t>
      </w:r>
      <w:r>
        <w:rPr>
          <w:rFonts w:ascii="Times New Roman" w:hAnsi="Times New Roman" w:cs="Times New Roman"/>
        </w:rPr>
        <w:tab/>
        <w:t xml:space="preserve">иных подлежащих оплате и неисполненных обязательств Поставщика перед Покупателем</w:t>
      </w:r>
      <w:r>
        <w:rPr>
          <w:rFonts w:ascii="Times New Roman" w:hAnsi="Times New Roman" w:cs="Times New Roman"/>
        </w:rPr>
        <w:t xml:space="preserve"> (сверх суммы, уже учтенной в выставленных претензиях).</w:t>
      </w:r>
      <w:r>
        <w:rPr>
          <w:rFonts w:ascii="Times New Roman" w:hAnsi="Times New Roman" w:cs="Times New Roman"/>
        </w:rPr>
      </w:r>
    </w:p>
    <w:p>
      <w:pPr>
        <w:ind w:firstLine="709"/>
        <w:jc w:val="both"/>
        <w:spacing w:after="0" w:line="240" w:lineRule="auto"/>
        <w:tabs>
          <w:tab w:val="left" w:pos="993" w:leader="none"/>
        </w:tabs>
        <w:rPr>
          <w:rFonts w:ascii="Times New Roman" w:hAnsi="Times New Roman" w:cs="Times New Roman"/>
        </w:rPr>
      </w:pPr>
      <w:r>
        <w:rPr>
          <w:rFonts w:ascii="Times New Roman" w:hAnsi="Times New Roman" w:cs="Times New Roman"/>
        </w:rPr>
        <w:t xml:space="preserve">18.9. Для гарантийного депозита, предоставляемого в качестве обеспечения гарантийных обязательств, сумма неисполненных денежных обязательств Поставщика перед Покупателем определяется по аналогии с пор</w:t>
      </w:r>
      <w:r>
        <w:rPr>
          <w:rFonts w:ascii="Times New Roman" w:hAnsi="Times New Roman" w:cs="Times New Roman"/>
        </w:rPr>
        <w:t xml:space="preserve">ядком, предусмотренным п. 18.8 настоящего приложения, при этом в расчет принимаются только суммы задолженности, возникшие в связи с неисполнением Поставщиком обязательств перед Покупателем в течение гарантийного срока по Договору.</w:t>
      </w:r>
      <w:r>
        <w:rPr>
          <w:rFonts w:ascii="Times New Roman" w:hAnsi="Times New Roman" w:cs="Times New Roman"/>
        </w:rPr>
      </w:r>
    </w:p>
    <w:p>
      <w:pPr>
        <w:ind w:firstLine="709"/>
        <w:jc w:val="both"/>
        <w:spacing w:after="0" w:line="240" w:lineRule="auto"/>
        <w:rPr>
          <w:rFonts w:ascii="Times New Roman" w:hAnsi="Times New Roman" w:cs="Times New Roman"/>
        </w:rPr>
      </w:pPr>
      <w:r>
        <w:rPr>
          <w:rFonts w:ascii="Times New Roman" w:hAnsi="Times New Roman" w:cs="Times New Roman"/>
        </w:rPr>
        <w:t xml:space="preserve">18.10. Выплата гарантийно</w:t>
      </w:r>
      <w:r>
        <w:rPr>
          <w:rFonts w:ascii="Times New Roman" w:hAnsi="Times New Roman" w:cs="Times New Roman"/>
        </w:rPr>
        <w:t xml:space="preserve">го депозита, предоставленного Поставщиком, за вычетом средств, использованных Покупателем для возмещения своих убытков, связанных с нарушением Поставщиком условий Договора, производится в следующем порядке:</w:t>
      </w:r>
      <w:r>
        <w:rPr>
          <w:rFonts w:ascii="Times New Roman" w:hAnsi="Times New Roman" w:cs="Times New Roman"/>
        </w:rPr>
      </w:r>
    </w:p>
    <w:p>
      <w:pPr>
        <w:numPr>
          <w:ilvl w:val="4"/>
          <w:numId w:val="57"/>
        </w:numPr>
        <w:ind w:left="0" w:firstLine="709"/>
        <w:jc w:val="both"/>
        <w:spacing w:after="0" w:line="240" w:lineRule="auto"/>
        <w:widowControl w:val="off"/>
        <w:tabs>
          <w:tab w:val="left" w:pos="851" w:leader="none"/>
        </w:tabs>
        <w:rPr>
          <w:rFonts w:ascii="Times New Roman" w:hAnsi="Times New Roman" w:eastAsia="Arial Unicode MS" w:cs="Times New Roman"/>
          <w:bCs/>
          <w:color w:val="000000"/>
          <w:lang w:eastAsia="ru-RU"/>
        </w:rPr>
      </w:pPr>
      <w:r>
        <w:rPr>
          <w:rFonts w:ascii="Times New Roman" w:hAnsi="Times New Roman" w:eastAsia="Arial Unicode MS" w:cs="Times New Roman"/>
          <w:bCs/>
          <w:color w:val="000000"/>
          <w:lang w:eastAsia="ru-RU"/>
        </w:rPr>
        <w:t xml:space="preserve">50% от суммы гарантийного депозита в течение 30 д</w:t>
      </w:r>
      <w:r>
        <w:rPr>
          <w:rFonts w:ascii="Times New Roman" w:hAnsi="Times New Roman" w:eastAsia="Arial Unicode MS" w:cs="Times New Roman"/>
          <w:bCs/>
          <w:color w:val="000000"/>
          <w:lang w:eastAsia="ru-RU"/>
        </w:rPr>
        <w:t xml:space="preserve">ней с даты подписания последнего Документа о приемке </w:t>
      </w:r>
      <w:r>
        <w:rPr>
          <w:rFonts w:ascii="Times New Roman" w:hAnsi="Times New Roman" w:eastAsia="Arial Unicode MS" w:cs="Times New Roman"/>
          <w:bCs/>
          <w:color w:val="000000"/>
          <w:highlight w:val="yellow"/>
          <w:lang w:eastAsia="ru-RU"/>
        </w:rPr>
        <w:t xml:space="preserve">Товара</w:t>
      </w:r>
      <w:r>
        <w:rPr>
          <w:rFonts w:ascii="Times New Roman" w:hAnsi="Times New Roman" w:eastAsia="Arial Unicode MS" w:cs="Times New Roman"/>
          <w:bCs/>
          <w:i/>
          <w:color w:val="000000"/>
          <w:highlight w:val="yellow"/>
          <w:lang w:eastAsia="ru-RU"/>
        </w:rPr>
        <w:t xml:space="preserve">/ актов оказания дополнительных услуг (в случае наличия соответствующих услуг в предмете Договора)</w:t>
      </w:r>
      <w:r>
        <w:rPr>
          <w:rFonts w:ascii="Times New Roman" w:hAnsi="Times New Roman" w:eastAsia="Arial Unicode MS" w:cs="Times New Roman"/>
          <w:color w:val="000000"/>
          <w:highlight w:val="yellow"/>
          <w:lang w:eastAsia="ru-RU"/>
        </w:rPr>
        <w:t xml:space="preserve">,</w:t>
      </w:r>
      <w:r>
        <w:rPr>
          <w:rFonts w:ascii="Times New Roman" w:hAnsi="Times New Roman" w:eastAsia="Arial Unicode MS" w:cs="Times New Roman"/>
          <w:bCs/>
          <w:color w:val="000000"/>
          <w:lang w:eastAsia="ru-RU"/>
        </w:rPr>
        <w:t xml:space="preserve"> но не более 5 процентов от стоимости поставки;</w:t>
      </w:r>
      <w:r>
        <w:rPr>
          <w:rFonts w:ascii="Times New Roman" w:hAnsi="Times New Roman" w:eastAsia="Arial Unicode MS" w:cs="Times New Roman"/>
          <w:bCs/>
          <w:color w:val="000000"/>
          <w:lang w:eastAsia="ru-RU"/>
        </w:rPr>
      </w:r>
    </w:p>
    <w:p>
      <w:pPr>
        <w:numPr>
          <w:ilvl w:val="4"/>
          <w:numId w:val="57"/>
        </w:numPr>
        <w:ind w:left="0" w:firstLine="709"/>
        <w:jc w:val="both"/>
        <w:spacing w:after="0" w:line="240" w:lineRule="auto"/>
        <w:widowControl w:val="off"/>
        <w:tabs>
          <w:tab w:val="left" w:pos="851" w:leader="none"/>
        </w:tabs>
        <w:rPr>
          <w:rFonts w:ascii="Times New Roman" w:hAnsi="Times New Roman" w:eastAsia="Arial Unicode MS" w:cs="Times New Roman"/>
          <w:bCs/>
          <w:color w:val="000000"/>
          <w:lang w:eastAsia="ru-RU"/>
        </w:rPr>
      </w:pPr>
      <w:r>
        <w:rPr>
          <w:rFonts w:ascii="Times New Roman" w:hAnsi="Times New Roman" w:eastAsia="Arial Unicode MS" w:cs="Times New Roman"/>
          <w:bCs/>
          <w:color w:val="000000"/>
          <w:lang w:eastAsia="ru-RU"/>
        </w:rPr>
        <w:t xml:space="preserve">50% от суммы гарантийного депозита в течение 30 дн</w:t>
      </w:r>
      <w:r>
        <w:rPr>
          <w:rFonts w:ascii="Times New Roman" w:hAnsi="Times New Roman" w:eastAsia="Arial Unicode MS" w:cs="Times New Roman"/>
          <w:bCs/>
          <w:color w:val="000000"/>
          <w:lang w:eastAsia="ru-RU"/>
        </w:rPr>
        <w:t xml:space="preserve">ей после окончания гарантийного срока и подписания сторонами протокола об отсутствии взаимных претензий).</w:t>
      </w:r>
      <w:r>
        <w:rPr>
          <w:rFonts w:ascii="Times New Roman" w:hAnsi="Times New Roman" w:eastAsia="Arial Unicode MS" w:cs="Times New Roman"/>
          <w:bCs/>
          <w:color w:val="000000"/>
          <w:lang w:eastAsia="ru-RU"/>
        </w:rPr>
      </w:r>
    </w:p>
    <w:p>
      <w:pPr>
        <w:ind w:firstLine="709"/>
        <w:jc w:val="both"/>
        <w:spacing w:after="0" w:line="240" w:lineRule="auto"/>
        <w:tabs>
          <w:tab w:val="left" w:pos="993" w:leader="none"/>
        </w:tabs>
        <w:rPr>
          <w:rFonts w:ascii="Times New Roman" w:hAnsi="Times New Roman" w:cs="Times New Roman"/>
        </w:rPr>
      </w:pPr>
      <w:r>
        <w:rPr>
          <w:rFonts w:ascii="Times New Roman" w:hAnsi="Times New Roman" w:cs="Times New Roman"/>
        </w:rPr>
        <w:t xml:space="preserve">18.11. До полной приемки всего объема поставки и оказания всех услуг</w:t>
      </w:r>
      <w:r>
        <w:rPr>
          <w:rFonts w:ascii="Times New Roman" w:hAnsi="Times New Roman" w:cs="Times New Roman"/>
          <w:i/>
        </w:rPr>
        <w:t xml:space="preserve"> (в случае наличия сопутствующих услуг в предмете Договора)</w:t>
      </w:r>
      <w:r>
        <w:rPr>
          <w:rFonts w:ascii="Times New Roman" w:hAnsi="Times New Roman" w:cs="Times New Roman"/>
          <w:bCs/>
        </w:rPr>
        <w:t xml:space="preserve"> </w:t>
      </w:r>
      <w:r>
        <w:rPr>
          <w:rFonts w:ascii="Times New Roman" w:hAnsi="Times New Roman" w:cs="Times New Roman"/>
        </w:rPr>
        <w:t xml:space="preserve">по Договору, поставленный Товар и оказанные услуги оплачивается лишь в размере их стоимости за вычетом размера установленного гарантийного депозита. </w:t>
      </w:r>
      <w:r>
        <w:rPr>
          <w:rFonts w:ascii="Times New Roman" w:hAnsi="Times New Roman" w:cs="Times New Roman"/>
        </w:rPr>
      </w:r>
    </w:p>
    <w:p>
      <w:pPr>
        <w:ind w:firstLine="851"/>
        <w:jc w:val="both"/>
        <w:spacing w:after="0" w:line="240" w:lineRule="auto"/>
        <w:tabs>
          <w:tab w:val="left" w:pos="993" w:leader="none"/>
        </w:tabs>
        <w:rPr>
          <w:rFonts w:ascii="Times New Roman" w:hAnsi="Times New Roman" w:cs="Times New Roman"/>
        </w:rPr>
      </w:pPr>
      <w:r>
        <w:rPr>
          <w:rFonts w:ascii="Times New Roman" w:hAnsi="Times New Roman" w:cs="Times New Roman"/>
        </w:rPr>
        <w:t xml:space="preserve">Выплата гарантийного депозита Поставщику до полной поставки всего Товара и оказания всех услуг до подписан</w:t>
      </w:r>
      <w:r>
        <w:rPr>
          <w:rFonts w:ascii="Times New Roman" w:hAnsi="Times New Roman" w:cs="Times New Roman"/>
        </w:rPr>
        <w:t xml:space="preserve">ия Документа о приемке Товара (в случае, если договором предусмотрена разовая приемка Товара и в Договоре отсутствуют дополнительные услуги), а не отдельных его партий, не допускается.</w:t>
      </w:r>
      <w:r>
        <w:rPr>
          <w:rFonts w:ascii="Times New Roman" w:hAnsi="Times New Roman" w:cs="Times New Roman"/>
        </w:rPr>
      </w:r>
    </w:p>
    <w:p>
      <w:pPr>
        <w:ind w:firstLine="851"/>
        <w:jc w:val="both"/>
        <w:spacing w:after="0" w:line="240" w:lineRule="auto"/>
        <w:rPr>
          <w:rFonts w:ascii="Times New Roman" w:hAnsi="Times New Roman" w:cs="Times New Roman"/>
        </w:rPr>
      </w:pPr>
      <w:r>
        <w:rPr>
          <w:rFonts w:ascii="Times New Roman" w:hAnsi="Times New Roman" w:cs="Times New Roman"/>
        </w:rPr>
        <w:t xml:space="preserve">Досрочная выплата гарантийного депозита до наступления указанных в наст</w:t>
      </w:r>
      <w:r>
        <w:rPr>
          <w:rFonts w:ascii="Times New Roman" w:hAnsi="Times New Roman" w:cs="Times New Roman"/>
        </w:rPr>
        <w:t xml:space="preserve">оящем пункте обстоятельств не допускается, за исключением случаев предоставления Поставщиком взамен обеспечения в форме гарантийного депозита иного способа обеспечения исполнения обязательств, удовлетворяющего требованиям настоящего Договора.</w:t>
      </w:r>
      <w:r>
        <w:rPr>
          <w:rFonts w:ascii="Times New Roman" w:hAnsi="Times New Roman" w:cs="Times New Roman"/>
        </w:rPr>
      </w:r>
    </w:p>
    <w:p>
      <w:pPr>
        <w:ind w:firstLine="709"/>
        <w:jc w:val="both"/>
        <w:spacing w:after="0" w:line="240" w:lineRule="auto"/>
        <w:tabs>
          <w:tab w:val="left" w:pos="840" w:leader="none"/>
        </w:tabs>
        <w:rPr>
          <w:rFonts w:ascii="Times New Roman" w:hAnsi="Times New Roman" w:cs="Times New Roman"/>
          <w:bCs/>
        </w:rPr>
      </w:pPr>
      <w:r>
        <w:rPr>
          <w:rFonts w:ascii="Times New Roman" w:hAnsi="Times New Roman" w:cs="Times New Roman"/>
          <w:bCs/>
        </w:rPr>
        <w:t xml:space="preserve">18.12. В случ</w:t>
      </w:r>
      <w:r>
        <w:rPr>
          <w:rFonts w:ascii="Times New Roman" w:hAnsi="Times New Roman" w:cs="Times New Roman"/>
          <w:bCs/>
        </w:rPr>
        <w:t xml:space="preserve">ае принятия решения о списании гарантийного депозита Покупатель в течение 3 рабочих дней направляет Поставщику информацию о списании гарантийного депозита с указанием, в чем состоит нарушение Поставщиком обязательств, в обеспечение которых был сформирован </w:t>
      </w:r>
      <w:r>
        <w:rPr>
          <w:rFonts w:ascii="Times New Roman" w:hAnsi="Times New Roman" w:cs="Times New Roman"/>
          <w:bCs/>
        </w:rPr>
        <w:t xml:space="preserve">гарантийный депозит, с указанием списанной суммы, определенной в соответствии с пп. 18.8, 18.9 настоящего приложения, а также требованием о восполнении депозита до установленного размера.</w:t>
      </w:r>
      <w:r>
        <w:rPr>
          <w:rFonts w:ascii="Times New Roman" w:hAnsi="Times New Roman" w:cs="Times New Roman"/>
          <w:bCs/>
        </w:rPr>
      </w:r>
    </w:p>
    <w:p>
      <w:pPr>
        <w:ind w:firstLine="709"/>
        <w:jc w:val="both"/>
        <w:spacing w:after="0" w:line="240" w:lineRule="auto"/>
        <w:widowControl w:val="off"/>
        <w:rPr>
          <w:rFonts w:ascii="Times New Roman" w:hAnsi="Times New Roman" w:eastAsia="Arial" w:cs="Times New Roman"/>
          <w:color w:val="000000"/>
          <w:lang w:eastAsia="ru-RU"/>
        </w:rPr>
        <w:pBdr>
          <w:top w:val="none" w:color="000000" w:sz="4" w:space="0"/>
          <w:left w:val="none" w:color="000000" w:sz="4" w:space="0"/>
          <w:bottom w:val="none" w:color="000000" w:sz="4" w:space="0"/>
          <w:right w:val="none" w:color="000000" w:sz="4" w:space="0"/>
          <w:between w:val="none" w:color="000000" w:sz="4" w:space="0"/>
        </w:pBdr>
      </w:pPr>
      <w:r>
        <w:rPr>
          <w:rFonts w:ascii="Times New Roman" w:hAnsi="Times New Roman" w:eastAsia="Arial" w:cs="Times New Roman"/>
          <w:color w:val="000000"/>
          <w:lang w:eastAsia="ru-RU"/>
        </w:rPr>
        <w:t xml:space="preserve">18.13. При расторжении (прекращении) Договора по основаниям, связанн</w:t>
      </w:r>
      <w:r>
        <w:rPr>
          <w:rFonts w:ascii="Times New Roman" w:hAnsi="Times New Roman" w:eastAsia="Arial" w:cs="Times New Roman"/>
          <w:color w:val="000000"/>
          <w:lang w:eastAsia="ru-RU"/>
        </w:rPr>
        <w:t xml:space="preserve">ым с неисполнением/ненадлежащим исполнением обязательств Поставщиком по Договору, гарантийный депозит не подлежит выплате Поставщику, а сумма, подлежащая оплате в этом случае, определяется в виде разницы между стоимостью поставленного Товара и оказанных ус</w:t>
      </w:r>
      <w:r>
        <w:rPr>
          <w:rFonts w:ascii="Times New Roman" w:hAnsi="Times New Roman" w:eastAsia="Arial" w:cs="Times New Roman"/>
          <w:color w:val="000000"/>
          <w:lang w:eastAsia="ru-RU"/>
        </w:rPr>
        <w:t xml:space="preserve">луг и суммой в размере 100% (сто процентов) сформированного на момент расторжения (прекращения) Договора гарантийного депозита.</w:t>
      </w:r>
      <w:r>
        <w:rPr>
          <w:rFonts w:ascii="Times New Roman" w:hAnsi="Times New Roman" w:eastAsia="Arial" w:cs="Times New Roman"/>
          <w:color w:val="000000"/>
          <w:lang w:eastAsia="ru-RU"/>
        </w:rPr>
      </w:r>
    </w:p>
    <w:p>
      <w:pPr>
        <w:ind w:firstLine="708"/>
        <w:jc w:val="both"/>
        <w:spacing w:after="0" w:line="240" w:lineRule="auto"/>
        <w:widowControl w:val="off"/>
        <w:rPr>
          <w:rFonts w:ascii="Times New Roman" w:hAnsi="Times New Roman" w:eastAsia="Arial" w:cs="Times New Roman"/>
          <w:color w:val="000000"/>
          <w:lang w:eastAsia="ru-RU"/>
        </w:rPr>
        <w:pBdr>
          <w:top w:val="none" w:color="000000" w:sz="4" w:space="0"/>
          <w:left w:val="none" w:color="000000" w:sz="4" w:space="0"/>
          <w:bottom w:val="none" w:color="000000" w:sz="4" w:space="0"/>
          <w:right w:val="none" w:color="000000" w:sz="4" w:space="0"/>
          <w:between w:val="none" w:color="000000" w:sz="4" w:space="0"/>
        </w:pBdr>
      </w:pPr>
      <w:r>
        <w:rPr>
          <w:rFonts w:ascii="Times New Roman" w:hAnsi="Times New Roman" w:eastAsia="Arial" w:cs="Times New Roman"/>
          <w:color w:val="000000"/>
          <w:lang w:eastAsia="ru-RU"/>
        </w:rPr>
        <w:t xml:space="preserve">18.14. Стороны установили, что на сумму гарантийного депозита начисление процентов не осуществляется.</w:t>
      </w:r>
      <w:r>
        <w:rPr>
          <w:rFonts w:ascii="Times New Roman" w:hAnsi="Times New Roman" w:eastAsia="Arial" w:cs="Times New Roman"/>
          <w:color w:val="000000"/>
          <w:lang w:eastAsia="ru-RU"/>
        </w:rPr>
      </w:r>
    </w:p>
    <w:p>
      <w:pPr>
        <w:ind w:left="709"/>
        <w:jc w:val="both"/>
        <w:spacing w:after="0" w:line="240" w:lineRule="auto"/>
        <w:widowControl w:val="off"/>
        <w:tabs>
          <w:tab w:val="left" w:pos="840" w:leader="none"/>
        </w:tabs>
        <w:rPr>
          <w:rFonts w:ascii="Times New Roman" w:hAnsi="Times New Roman" w:eastAsia="Arial Unicode MS" w:cs="Times New Roman"/>
          <w:bCs/>
          <w:color w:val="000000"/>
          <w:lang w:eastAsia="ru-RU"/>
        </w:rPr>
        <w:pBdr>
          <w:top w:val="none" w:color="000000" w:sz="4" w:space="0"/>
          <w:left w:val="none" w:color="000000" w:sz="4" w:space="0"/>
          <w:bottom w:val="none" w:color="000000" w:sz="4" w:space="0"/>
          <w:right w:val="none" w:color="000000" w:sz="4" w:space="0"/>
          <w:between w:val="none" w:color="000000" w:sz="4" w:space="0"/>
        </w:pBdr>
      </w:pPr>
      <w:r>
        <w:rPr>
          <w:rFonts w:ascii="Times New Roman" w:hAnsi="Times New Roman" w:eastAsia="Arial Unicode MS" w:cs="Times New Roman"/>
          <w:bCs/>
          <w:color w:val="000000"/>
          <w:lang w:eastAsia="ru-RU"/>
        </w:rPr>
        <w:t xml:space="preserve">19. Поставщик вправе предоставить в качестве обеспечения обязательств по Договору обеспечительный платеж:</w:t>
      </w:r>
      <w:r>
        <w:rPr>
          <w:rFonts w:ascii="Times New Roman" w:hAnsi="Times New Roman" w:eastAsia="Arial Unicode MS" w:cs="Times New Roman"/>
          <w:bCs/>
          <w:color w:val="000000"/>
          <w:lang w:eastAsia="ru-RU"/>
        </w:rPr>
      </w:r>
    </w:p>
    <w:p>
      <w:pPr>
        <w:numPr>
          <w:ilvl w:val="4"/>
          <w:numId w:val="57"/>
        </w:numPr>
        <w:ind w:left="0" w:firstLine="709"/>
        <w:jc w:val="both"/>
        <w:spacing w:after="0" w:line="240" w:lineRule="auto"/>
        <w:widowControl w:val="off"/>
        <w:tabs>
          <w:tab w:val="left" w:pos="851" w:leader="none"/>
        </w:tabs>
        <w:rPr>
          <w:rFonts w:ascii="Times New Roman" w:hAnsi="Times New Roman" w:eastAsia="Arial Unicode MS" w:cs="Times New Roman"/>
          <w:bCs/>
          <w:color w:val="000000"/>
          <w:lang w:eastAsia="ru-RU"/>
        </w:rPr>
      </w:pPr>
      <w:r>
        <w:rPr>
          <w:rFonts w:ascii="Times New Roman" w:hAnsi="Times New Roman" w:eastAsia="Arial Unicode MS" w:cs="Times New Roman"/>
          <w:bCs/>
          <w:color w:val="000000"/>
          <w:lang w:eastAsia="ru-RU"/>
        </w:rPr>
        <w:t xml:space="preserve">обеспечительный платеж на возврат авансовых платежей;</w:t>
      </w:r>
      <w:r>
        <w:rPr>
          <w:rFonts w:ascii="Times New Roman" w:hAnsi="Times New Roman" w:eastAsia="Arial Unicode MS" w:cs="Times New Roman"/>
          <w:bCs/>
          <w:color w:val="000000"/>
          <w:lang w:eastAsia="ru-RU"/>
        </w:rPr>
      </w:r>
    </w:p>
    <w:p>
      <w:pPr>
        <w:numPr>
          <w:ilvl w:val="4"/>
          <w:numId w:val="57"/>
        </w:numPr>
        <w:ind w:left="0" w:firstLine="709"/>
        <w:jc w:val="both"/>
        <w:spacing w:after="0" w:line="240" w:lineRule="auto"/>
        <w:widowControl w:val="off"/>
        <w:tabs>
          <w:tab w:val="left" w:pos="851" w:leader="none"/>
        </w:tabs>
        <w:rPr>
          <w:rFonts w:ascii="Times New Roman" w:hAnsi="Times New Roman" w:eastAsia="Arial Unicode MS" w:cs="Times New Roman"/>
          <w:bCs/>
          <w:color w:val="000000"/>
          <w:lang w:eastAsia="ru-RU"/>
        </w:rPr>
      </w:pPr>
      <w:r>
        <w:rPr>
          <w:rFonts w:ascii="Times New Roman" w:hAnsi="Times New Roman" w:eastAsia="Arial Unicode MS" w:cs="Times New Roman"/>
          <w:bCs/>
          <w:color w:val="000000"/>
          <w:lang w:eastAsia="ru-RU"/>
        </w:rPr>
        <w:t xml:space="preserve">обеспечительный платеж на исполнение Поставщиком обязательств по Договору;</w:t>
      </w:r>
      <w:r>
        <w:rPr>
          <w:rFonts w:ascii="Times New Roman" w:hAnsi="Times New Roman" w:eastAsia="Arial Unicode MS" w:cs="Times New Roman"/>
          <w:bCs/>
          <w:color w:val="000000"/>
          <w:lang w:eastAsia="ru-RU"/>
        </w:rPr>
      </w:r>
    </w:p>
    <w:p>
      <w:pPr>
        <w:numPr>
          <w:ilvl w:val="4"/>
          <w:numId w:val="57"/>
        </w:numPr>
        <w:ind w:left="0" w:firstLine="709"/>
        <w:jc w:val="both"/>
        <w:spacing w:after="0" w:line="240" w:lineRule="auto"/>
        <w:widowControl w:val="off"/>
        <w:tabs>
          <w:tab w:val="left" w:pos="851" w:leader="none"/>
        </w:tabs>
        <w:rPr>
          <w:rFonts w:ascii="Times New Roman" w:hAnsi="Times New Roman" w:eastAsia="Arial Unicode MS" w:cs="Times New Roman"/>
          <w:bCs/>
          <w:color w:val="000000"/>
          <w:lang w:eastAsia="ru-RU"/>
        </w:rPr>
      </w:pPr>
      <w:r>
        <w:rPr>
          <w:rFonts w:ascii="Times New Roman" w:hAnsi="Times New Roman" w:eastAsia="Arial Unicode MS" w:cs="Times New Roman"/>
          <w:bCs/>
          <w:color w:val="000000"/>
          <w:lang w:eastAsia="ru-RU"/>
        </w:rPr>
        <w:t xml:space="preserve">обеспечительный платеж обеспечения гарантийных обязательств по Договору.</w:t>
      </w:r>
      <w:r>
        <w:rPr>
          <w:rFonts w:ascii="Times New Roman" w:hAnsi="Times New Roman" w:eastAsia="Arial Unicode MS" w:cs="Times New Roman"/>
          <w:bCs/>
          <w:color w:val="000000"/>
          <w:lang w:eastAsia="ru-RU"/>
        </w:rPr>
      </w:r>
    </w:p>
    <w:p>
      <w:pPr>
        <w:contextualSpacing/>
        <w:ind w:firstLine="709"/>
        <w:jc w:val="both"/>
        <w:spacing w:after="0" w:line="240" w:lineRule="auto"/>
        <w:widowControl w:val="off"/>
        <w:rPr>
          <w:rFonts w:ascii="Times New Roman" w:hAnsi="Times New Roman" w:eastAsia="Times New Roman" w:cs="Times New Roman"/>
          <w:bCs/>
          <w:lang w:eastAsia="ru-RU"/>
        </w:rPr>
      </w:pPr>
      <w:r>
        <w:rPr>
          <w:rFonts w:ascii="Times New Roman" w:hAnsi="Times New Roman" w:eastAsia="Times New Roman" w:cs="Times New Roman"/>
          <w:bCs/>
          <w:lang w:eastAsia="ru-RU"/>
        </w:rPr>
        <w:t xml:space="preserve">19.1</w:t>
      </w:r>
      <w:r>
        <w:rPr>
          <w:rFonts w:ascii="Times New Roman" w:hAnsi="Times New Roman" w:eastAsia="Times New Roman" w:cs="Times New Roman"/>
          <w:bCs/>
          <w:highlight w:val="yellow"/>
          <w:lang w:eastAsia="ru-RU"/>
        </w:rPr>
        <w:t xml:space="preserve">. </w:t>
      </w:r>
      <w:r>
        <w:rPr>
          <w:rFonts w:ascii="Times New Roman" w:hAnsi="Times New Roman" w:eastAsia="Times New Roman" w:cs="Times New Roman"/>
          <w:highlight w:val="yellow"/>
          <w:lang w:eastAsia="ru-RU"/>
        </w:rPr>
        <w:t xml:space="preserve">Поставщик направляет Покупателю письменное обращение о необходимости заключения Сторонами Соглашения об обеспечительном платеже по форме приложений 10.7, 10.8, 10.9 к настоящему</w:t>
      </w:r>
      <w:r>
        <w:rPr>
          <w:rFonts w:ascii="Times New Roman" w:hAnsi="Times New Roman" w:eastAsia="Times New Roman" w:cs="Times New Roman"/>
          <w:highlight w:val="yellow"/>
          <w:lang w:eastAsia="ru-RU"/>
        </w:rPr>
        <w:t xml:space="preserve"> Договору в соответствии с Требованиями, содержащимися в приложениях 10.7, 10.8, 10.9 к настоящему Договору, пп. 20.3, 20.4, 20.5. Договора.</w:t>
      </w:r>
      <w:r>
        <w:rPr>
          <w:rFonts w:ascii="Times New Roman" w:hAnsi="Times New Roman" w:eastAsia="Times New Roman" w:cs="Times New Roman"/>
          <w:bCs/>
          <w:lang w:eastAsia="ru-RU"/>
        </w:rPr>
      </w:r>
    </w:p>
    <w:p>
      <w:pPr>
        <w:ind w:firstLine="709"/>
        <w:jc w:val="both"/>
        <w:spacing w:after="0" w:line="240" w:lineRule="auto"/>
        <w:tabs>
          <w:tab w:val="left" w:pos="840" w:leader="none"/>
        </w:tabs>
        <w:rPr>
          <w:rFonts w:ascii="Times New Roman" w:hAnsi="Times New Roman" w:cs="Times New Roman"/>
          <w:bCs/>
        </w:rPr>
      </w:pPr>
      <w:r>
        <w:rPr>
          <w:rFonts w:ascii="Times New Roman" w:hAnsi="Times New Roman" w:cs="Times New Roman"/>
          <w:bCs/>
        </w:rPr>
        <w:t xml:space="preserve">19.2. Перечисление обеспечительного платежа осуществляется Поставщиком на обособленный счет Покупателя. Открытие и </w:t>
      </w:r>
      <w:r>
        <w:rPr>
          <w:rFonts w:ascii="Times New Roman" w:hAnsi="Times New Roman" w:cs="Times New Roman"/>
          <w:bCs/>
        </w:rPr>
        <w:t xml:space="preserve">обслуживание указанного счета осуществляется Покупателем.</w:t>
      </w:r>
      <w:r>
        <w:rPr>
          <w:rFonts w:ascii="Times New Roman" w:hAnsi="Times New Roman" w:cs="Times New Roman"/>
          <w:bCs/>
        </w:rPr>
      </w:r>
    </w:p>
    <w:p>
      <w:pPr>
        <w:ind w:firstLine="709"/>
        <w:jc w:val="both"/>
        <w:spacing w:after="0" w:line="240" w:lineRule="auto"/>
        <w:tabs>
          <w:tab w:val="left" w:pos="840" w:leader="none"/>
        </w:tabs>
        <w:rPr>
          <w:rFonts w:ascii="Times New Roman" w:hAnsi="Times New Roman" w:cs="Times New Roman"/>
          <w:bCs/>
        </w:rPr>
      </w:pPr>
      <w:r>
        <w:rPr>
          <w:rFonts w:ascii="Times New Roman" w:hAnsi="Times New Roman" w:cs="Times New Roman"/>
          <w:bCs/>
        </w:rPr>
        <w:t xml:space="preserve">Стороны установили, что на сумму обеспечительного платежа начисление процентов не осуществляется.</w:t>
      </w:r>
      <w:r>
        <w:rPr>
          <w:rFonts w:ascii="Times New Roman" w:hAnsi="Times New Roman" w:cs="Times New Roman"/>
          <w:bCs/>
        </w:rPr>
      </w:r>
    </w:p>
    <w:p>
      <w:pPr>
        <w:ind w:firstLine="709"/>
        <w:jc w:val="both"/>
        <w:spacing w:after="0" w:line="240" w:lineRule="auto"/>
        <w:tabs>
          <w:tab w:val="left" w:pos="840" w:leader="none"/>
        </w:tabs>
        <w:rPr>
          <w:rFonts w:ascii="Times New Roman" w:hAnsi="Times New Roman" w:cs="Times New Roman"/>
          <w:bCs/>
        </w:rPr>
      </w:pPr>
      <w:r>
        <w:rPr>
          <w:rFonts w:ascii="Times New Roman" w:hAnsi="Times New Roman" w:cs="Times New Roman"/>
          <w:bCs/>
        </w:rPr>
        <w:t xml:space="preserve">19.3. Требования к обеспечительному платежу, предоставляемому в качестве обеспечения обязательств по</w:t>
      </w:r>
      <w:r>
        <w:rPr>
          <w:rFonts w:ascii="Times New Roman" w:hAnsi="Times New Roman" w:cs="Times New Roman"/>
          <w:bCs/>
        </w:rPr>
        <w:t xml:space="preserve"> возврату аванса, порядок и основания его списания и возврата Покупателем:</w:t>
      </w:r>
      <w:r>
        <w:rPr>
          <w:rFonts w:ascii="Times New Roman" w:hAnsi="Times New Roman" w:cs="Times New Roman"/>
          <w:bCs/>
        </w:rPr>
      </w:r>
    </w:p>
    <w:p>
      <w:pPr>
        <w:ind w:firstLine="709"/>
        <w:jc w:val="both"/>
        <w:spacing w:after="0" w:line="240" w:lineRule="auto"/>
        <w:tabs>
          <w:tab w:val="left" w:pos="840" w:leader="none"/>
        </w:tabs>
        <w:rPr>
          <w:rFonts w:ascii="Times New Roman" w:hAnsi="Times New Roman" w:cs="Times New Roman"/>
        </w:rPr>
      </w:pPr>
      <w:r>
        <w:rPr>
          <w:rFonts w:ascii="Times New Roman" w:hAnsi="Times New Roman" w:cs="Times New Roman"/>
          <w:bCs/>
        </w:rPr>
        <w:t xml:space="preserve">19.3.1. Сумма обеспечительного платежа, предоставляемого в качестве обеспечения возврата авансовых платежей, должна быть в размере аванса</w:t>
      </w:r>
      <w:r>
        <w:rPr>
          <w:rFonts w:ascii="Times New Roman" w:hAnsi="Times New Roman" w:cs="Times New Roman"/>
          <w:bCs/>
          <w:highlight w:val="yellow"/>
        </w:rPr>
        <w:t xml:space="preserve">, предусмотренного Договором.</w:t>
      </w:r>
      <w:r>
        <w:rPr>
          <w:rFonts w:ascii="Times New Roman" w:hAnsi="Times New Roman" w:cs="Times New Roman"/>
        </w:rPr>
        <w:t xml:space="preserve"> </w:t>
      </w:r>
      <w:r>
        <w:rPr>
          <w:rFonts w:ascii="Times New Roman" w:hAnsi="Times New Roman" w:cs="Times New Roman"/>
        </w:rPr>
      </w:r>
    </w:p>
    <w:p>
      <w:pPr>
        <w:ind w:firstLine="709"/>
        <w:jc w:val="both"/>
        <w:spacing w:after="0" w:line="240" w:lineRule="auto"/>
        <w:tabs>
          <w:tab w:val="left" w:pos="840" w:leader="none"/>
        </w:tabs>
        <w:rPr>
          <w:rFonts w:ascii="Times New Roman" w:hAnsi="Times New Roman" w:cs="Times New Roman"/>
        </w:rPr>
      </w:pPr>
      <w:r>
        <w:rPr>
          <w:rFonts w:ascii="Times New Roman" w:hAnsi="Times New Roman" w:cs="Times New Roman"/>
        </w:rPr>
        <w:t xml:space="preserve">19.3.2. Переч</w:t>
      </w:r>
      <w:r>
        <w:rPr>
          <w:rFonts w:ascii="Times New Roman" w:hAnsi="Times New Roman" w:cs="Times New Roman"/>
        </w:rPr>
        <w:t xml:space="preserve">исление обеспечительного платежа должно быть совершено Поставщиком на </w:t>
      </w:r>
      <w:r>
        <w:rPr>
          <w:rFonts w:ascii="Times New Roman" w:hAnsi="Times New Roman" w:cs="Times New Roman"/>
          <w:highlight w:val="yellow"/>
        </w:rPr>
        <w:t xml:space="preserve">обособленный</w:t>
      </w:r>
      <w:r>
        <w:rPr>
          <w:rFonts w:ascii="Times New Roman" w:hAnsi="Times New Roman" w:cs="Times New Roman"/>
        </w:rPr>
        <w:t xml:space="preserve"> счет Покупателя до даты перечисления аванса.</w:t>
      </w:r>
      <w:r>
        <w:rPr>
          <w:rFonts w:ascii="Times New Roman" w:hAnsi="Times New Roman" w:cs="Times New Roman"/>
        </w:rPr>
      </w:r>
    </w:p>
    <w:p>
      <w:pPr>
        <w:ind w:firstLine="708"/>
        <w:jc w:val="both"/>
        <w:spacing w:after="0" w:line="240" w:lineRule="auto"/>
        <w:tabs>
          <w:tab w:val="left" w:pos="840" w:leader="none"/>
        </w:tabs>
        <w:rPr>
          <w:rFonts w:ascii="Times New Roman" w:hAnsi="Times New Roman" w:cs="Times New Roman"/>
          <w:bCs/>
        </w:rPr>
      </w:pPr>
      <w:r>
        <w:rPr>
          <w:rFonts w:ascii="Times New Roman" w:hAnsi="Times New Roman" w:cs="Times New Roman"/>
          <w:bCs/>
        </w:rPr>
        <w:t xml:space="preserve">19.3.3. Поставщик предоставляет обеспечительный платеж на период действия Договора до момента полного погашения авансовой задолж</w:t>
      </w:r>
      <w:r>
        <w:rPr>
          <w:rFonts w:ascii="Times New Roman" w:hAnsi="Times New Roman" w:cs="Times New Roman"/>
          <w:bCs/>
        </w:rPr>
        <w:t xml:space="preserve">енности.</w:t>
      </w:r>
      <w:r>
        <w:rPr>
          <w:rFonts w:ascii="Times New Roman" w:hAnsi="Times New Roman" w:cs="Times New Roman"/>
          <w:bCs/>
        </w:rPr>
      </w:r>
    </w:p>
    <w:p>
      <w:pPr>
        <w:ind w:firstLine="708"/>
        <w:jc w:val="both"/>
        <w:spacing w:after="0" w:line="240" w:lineRule="auto"/>
        <w:tabs>
          <w:tab w:val="left" w:pos="840" w:leader="none"/>
        </w:tabs>
        <w:rPr>
          <w:rFonts w:ascii="Times New Roman" w:hAnsi="Times New Roman" w:cs="Times New Roman"/>
          <w:bCs/>
        </w:rPr>
      </w:pPr>
      <w:r>
        <w:rPr>
          <w:rFonts w:ascii="Times New Roman" w:hAnsi="Times New Roman" w:cs="Times New Roman"/>
          <w:bCs/>
        </w:rPr>
        <w:t xml:space="preserve">19.3.4. Обеспечительный платеж может быть использован Покупателем для покрытия расходов, связанных с невозвратом Поставщиком авансовых платежей, предусмотренных Договором.</w:t>
      </w:r>
      <w:r>
        <w:rPr>
          <w:rFonts w:ascii="Times New Roman" w:hAnsi="Times New Roman" w:cs="Times New Roman"/>
          <w:bCs/>
        </w:rPr>
      </w:r>
    </w:p>
    <w:p>
      <w:pPr>
        <w:ind w:firstLine="709"/>
        <w:jc w:val="both"/>
        <w:spacing w:after="0" w:line="240" w:lineRule="auto"/>
        <w:tabs>
          <w:tab w:val="left" w:pos="840" w:leader="none"/>
        </w:tabs>
        <w:rPr>
          <w:rFonts w:ascii="Times New Roman" w:hAnsi="Times New Roman" w:cs="Times New Roman"/>
          <w:bCs/>
        </w:rPr>
      </w:pPr>
      <w:r>
        <w:rPr>
          <w:rFonts w:ascii="Times New Roman" w:hAnsi="Times New Roman" w:cs="Times New Roman"/>
          <w:bCs/>
        </w:rPr>
        <w:t xml:space="preserve">19.3.5. Сумма обеспечительного платежа подлежит списанию Покупателем в случ</w:t>
      </w:r>
      <w:r>
        <w:rPr>
          <w:rFonts w:ascii="Times New Roman" w:hAnsi="Times New Roman" w:cs="Times New Roman"/>
          <w:bCs/>
        </w:rPr>
        <w:t xml:space="preserve">ае получения со стороны Поставщика письменного отказа от возврата неотработанного аванса, либо неперечисления неотработанного аванса в срок, установленный в письменном уведомлении о возврате аванса со стороны Покупателя и должна быть равна сумме неотработа</w:t>
      </w:r>
      <w:r>
        <w:rPr>
          <w:rFonts w:ascii="Times New Roman" w:hAnsi="Times New Roman" w:cs="Times New Roman"/>
          <w:bCs/>
        </w:rPr>
        <w:t xml:space="preserve">нного на момент списания аванса.</w:t>
      </w:r>
      <w:r>
        <w:rPr>
          <w:rFonts w:ascii="Times New Roman" w:hAnsi="Times New Roman" w:cs="Times New Roman"/>
          <w:bCs/>
        </w:rPr>
      </w:r>
    </w:p>
    <w:p>
      <w:pPr>
        <w:ind w:firstLine="709"/>
        <w:jc w:val="both"/>
        <w:spacing w:after="0" w:line="240" w:lineRule="auto"/>
        <w:tabs>
          <w:tab w:val="left" w:pos="840" w:leader="none"/>
        </w:tabs>
        <w:rPr>
          <w:rFonts w:ascii="Times New Roman" w:hAnsi="Times New Roman" w:cs="Times New Roman"/>
          <w:bCs/>
        </w:rPr>
      </w:pPr>
      <w:r>
        <w:rPr>
          <w:rFonts w:ascii="Times New Roman" w:hAnsi="Times New Roman" w:cs="Times New Roman"/>
          <w:bCs/>
        </w:rPr>
        <w:t xml:space="preserve">19.3.6. В случае принятия решения о списании обеспечительного платежа Покупатель в течение 3 (трех) рабочих дней направляет Поставщику информацию о списании обеспечительного платежа с указанием, в чем состоит нарушение обязательств, в обеспечение которых б</w:t>
      </w:r>
      <w:r>
        <w:rPr>
          <w:rFonts w:ascii="Times New Roman" w:hAnsi="Times New Roman" w:cs="Times New Roman"/>
          <w:bCs/>
        </w:rPr>
        <w:t xml:space="preserve">ыл перечислен обеспечительный платеж, а также с указанием суммы списания, определенной в соответствии с п. 5 Соглашения об обеспечительном платеже, предоставляемого в качестве обеспечения возврата авансовых платежей.</w:t>
      </w:r>
      <w:r>
        <w:rPr>
          <w:rFonts w:ascii="Times New Roman" w:hAnsi="Times New Roman" w:cs="Times New Roman"/>
          <w:bCs/>
        </w:rPr>
      </w:r>
    </w:p>
    <w:p>
      <w:pPr>
        <w:ind w:firstLine="709"/>
        <w:jc w:val="both"/>
        <w:spacing w:after="0" w:line="240" w:lineRule="auto"/>
        <w:tabs>
          <w:tab w:val="left" w:pos="840" w:leader="none"/>
        </w:tabs>
        <w:rPr>
          <w:rFonts w:ascii="Times New Roman" w:hAnsi="Times New Roman" w:cs="Times New Roman"/>
          <w:bCs/>
        </w:rPr>
      </w:pPr>
      <w:r>
        <w:rPr>
          <w:rFonts w:ascii="Times New Roman" w:hAnsi="Times New Roman" w:cs="Times New Roman"/>
          <w:bCs/>
        </w:rPr>
        <w:t xml:space="preserve">19.3.7. Возврат обеспечительного платеж</w:t>
      </w:r>
      <w:r>
        <w:rPr>
          <w:rFonts w:ascii="Times New Roman" w:hAnsi="Times New Roman" w:cs="Times New Roman"/>
          <w:bCs/>
        </w:rPr>
        <w:t xml:space="preserve">а Поставщику до полного погашения суммы авансовых платежей, выплаченных Покупателем по Договору, не допускается за исключением случаев предоставления Поставщиком взамен обеспечения в форме обеспечительного платежа иного способа обеспечения возврата аванса,</w:t>
      </w:r>
      <w:r>
        <w:rPr>
          <w:rFonts w:ascii="Times New Roman" w:hAnsi="Times New Roman" w:cs="Times New Roman"/>
          <w:bCs/>
        </w:rPr>
        <w:t xml:space="preserve"> удовлетворяющего условиям настоящего Договора.</w:t>
      </w:r>
      <w:r>
        <w:rPr>
          <w:rFonts w:ascii="Times New Roman" w:hAnsi="Times New Roman" w:cs="Times New Roman"/>
          <w:bCs/>
        </w:rPr>
      </w:r>
    </w:p>
    <w:p>
      <w:pPr>
        <w:ind w:firstLine="709"/>
        <w:jc w:val="both"/>
        <w:spacing w:after="0" w:line="240" w:lineRule="auto"/>
        <w:tabs>
          <w:tab w:val="left" w:pos="840" w:leader="none"/>
        </w:tabs>
        <w:rPr>
          <w:rFonts w:ascii="Times New Roman" w:hAnsi="Times New Roman" w:cs="Times New Roman"/>
          <w:bCs/>
        </w:rPr>
      </w:pPr>
      <w:r>
        <w:rPr>
          <w:rFonts w:ascii="Times New Roman" w:hAnsi="Times New Roman" w:cs="Times New Roman"/>
          <w:bCs/>
        </w:rPr>
        <w:t xml:space="preserve">В случае замены Поставщиком обеспечительного платежа иным способом обеспечения в порядке и на условиях, предусмотренных Договором, возврат обеспечительного платежа Поставщику осуществляется в течение 30 (трид</w:t>
      </w:r>
      <w:r>
        <w:rPr>
          <w:rFonts w:ascii="Times New Roman" w:hAnsi="Times New Roman" w:cs="Times New Roman"/>
          <w:bCs/>
        </w:rPr>
        <w:t xml:space="preserve">цати) календарных дней со дня получения Покупателем альтернативного способа обеспечения.</w:t>
      </w:r>
      <w:r>
        <w:rPr>
          <w:rFonts w:ascii="Times New Roman" w:hAnsi="Times New Roman" w:cs="Times New Roman"/>
          <w:bCs/>
        </w:rPr>
      </w:r>
    </w:p>
    <w:p>
      <w:pPr>
        <w:ind w:firstLine="709"/>
        <w:jc w:val="both"/>
        <w:spacing w:after="0" w:line="240" w:lineRule="auto"/>
        <w:tabs>
          <w:tab w:val="left" w:pos="840" w:leader="none"/>
        </w:tabs>
        <w:rPr>
          <w:rFonts w:ascii="Times New Roman" w:hAnsi="Times New Roman" w:cs="Times New Roman"/>
          <w:bCs/>
        </w:rPr>
      </w:pPr>
      <w:r>
        <w:rPr>
          <w:rFonts w:ascii="Times New Roman" w:hAnsi="Times New Roman" w:cs="Times New Roman"/>
          <w:bCs/>
        </w:rPr>
        <w:t xml:space="preserve">19.3.8. Возврат обеспечительного платежа, предоставленного Поставщиком в качестве обеспечения обязательств по возврату аванса, производится в течение 10 (десяти) рабоч</w:t>
      </w:r>
      <w:r>
        <w:rPr>
          <w:rFonts w:ascii="Times New Roman" w:hAnsi="Times New Roman" w:cs="Times New Roman"/>
          <w:bCs/>
        </w:rPr>
        <w:t xml:space="preserve">их дней со дня подписания Сторонами двухстороннего акта сверки авансовой задолженности по Договору, авансовая задолженность в соответствии с которым будет отсутствовать.</w:t>
      </w:r>
      <w:r>
        <w:rPr>
          <w:rFonts w:ascii="Times New Roman" w:hAnsi="Times New Roman" w:cs="Times New Roman"/>
          <w:bCs/>
        </w:rPr>
      </w:r>
    </w:p>
    <w:p>
      <w:pPr>
        <w:ind w:firstLine="709"/>
        <w:jc w:val="both"/>
        <w:spacing w:after="0" w:line="240" w:lineRule="auto"/>
        <w:tabs>
          <w:tab w:val="left" w:pos="840" w:leader="none"/>
        </w:tabs>
        <w:rPr>
          <w:rFonts w:ascii="Times New Roman" w:hAnsi="Times New Roman" w:cs="Times New Roman"/>
          <w:bCs/>
        </w:rPr>
      </w:pPr>
      <w:r>
        <w:rPr>
          <w:rFonts w:ascii="Times New Roman" w:hAnsi="Times New Roman" w:cs="Times New Roman"/>
          <w:bCs/>
        </w:rPr>
        <w:t xml:space="preserve">19.3.9. Размер обеспечительного платежа может быть уменьшен до суммы неотработанного П</w:t>
      </w:r>
      <w:r>
        <w:rPr>
          <w:rFonts w:ascii="Times New Roman" w:hAnsi="Times New Roman" w:cs="Times New Roman"/>
          <w:bCs/>
        </w:rPr>
        <w:t xml:space="preserve">оставщиком аванса на основании акта сверки авансовой задолженности по Договору путем подписания дополнительного соглашения к Соглашению об обеспечительном платеже, предоставляемого в качестве обеспечения возврата авансовых платежей.</w:t>
      </w:r>
      <w:r>
        <w:rPr>
          <w:rFonts w:ascii="Times New Roman" w:hAnsi="Times New Roman" w:cs="Times New Roman"/>
          <w:bCs/>
        </w:rPr>
      </w:r>
    </w:p>
    <w:p>
      <w:pPr>
        <w:ind w:firstLine="709"/>
        <w:jc w:val="both"/>
        <w:spacing w:after="0" w:line="240" w:lineRule="auto"/>
        <w:tabs>
          <w:tab w:val="left" w:pos="840" w:leader="none"/>
        </w:tabs>
        <w:rPr>
          <w:rFonts w:ascii="Times New Roman" w:hAnsi="Times New Roman" w:cs="Times New Roman"/>
          <w:bCs/>
        </w:rPr>
      </w:pPr>
      <w:r>
        <w:rPr>
          <w:rFonts w:ascii="Times New Roman" w:hAnsi="Times New Roman" w:cs="Times New Roman"/>
          <w:bCs/>
        </w:rPr>
        <w:t xml:space="preserve">19.3.10. Размер обеспеч</w:t>
      </w:r>
      <w:r>
        <w:rPr>
          <w:rFonts w:ascii="Times New Roman" w:hAnsi="Times New Roman" w:cs="Times New Roman"/>
          <w:bCs/>
        </w:rPr>
        <w:t xml:space="preserve">ительного платежа в любой момент времени должен быть не меньше суммы неотработанного Поставщиком аванса по Договору.</w:t>
      </w:r>
      <w:r>
        <w:rPr>
          <w:rFonts w:ascii="Times New Roman" w:hAnsi="Times New Roman" w:cs="Times New Roman"/>
          <w:bCs/>
        </w:rPr>
      </w:r>
    </w:p>
    <w:p>
      <w:pPr>
        <w:ind w:firstLine="709"/>
        <w:jc w:val="both"/>
        <w:spacing w:after="0" w:line="240" w:lineRule="auto"/>
        <w:tabs>
          <w:tab w:val="left" w:pos="840" w:leader="none"/>
        </w:tabs>
        <w:rPr>
          <w:rFonts w:ascii="Times New Roman" w:hAnsi="Times New Roman" w:cs="Times New Roman"/>
          <w:bCs/>
        </w:rPr>
      </w:pPr>
      <w:r>
        <w:rPr>
          <w:rFonts w:ascii="Times New Roman" w:hAnsi="Times New Roman" w:cs="Times New Roman"/>
          <w:bCs/>
        </w:rPr>
        <w:t xml:space="preserve">19.3.11. При расторжении (прекращении) Договора в случае невыполнения Поставщиком обязательств в сроки и/или </w:t>
      </w:r>
      <w:r>
        <w:rPr>
          <w:rFonts w:ascii="Times New Roman" w:hAnsi="Times New Roman" w:cs="Times New Roman"/>
          <w:bCs/>
          <w:highlight w:val="yellow"/>
        </w:rPr>
        <w:t xml:space="preserve">их выполнении</w:t>
      </w:r>
      <w:r>
        <w:rPr>
          <w:rFonts w:ascii="Times New Roman" w:hAnsi="Times New Roman" w:cs="Times New Roman"/>
          <w:bCs/>
        </w:rPr>
        <w:t xml:space="preserve"> с ненадлежащим к</w:t>
      </w:r>
      <w:r>
        <w:rPr>
          <w:rFonts w:ascii="Times New Roman" w:hAnsi="Times New Roman" w:cs="Times New Roman"/>
          <w:bCs/>
        </w:rPr>
        <w:t xml:space="preserve">ачеством, предусмотренные Договором, обеспечительный платеж не подлежит возврату Поставщику. </w:t>
      </w:r>
      <w:r>
        <w:rPr>
          <w:rFonts w:ascii="Times New Roman" w:hAnsi="Times New Roman" w:cs="Times New Roman"/>
          <w:bCs/>
        </w:rPr>
      </w:r>
    </w:p>
    <w:p>
      <w:pPr>
        <w:ind w:firstLine="708"/>
        <w:jc w:val="both"/>
        <w:spacing w:after="0" w:line="240" w:lineRule="auto"/>
        <w:tabs>
          <w:tab w:val="left" w:pos="840" w:leader="none"/>
        </w:tabs>
        <w:rPr>
          <w:rFonts w:ascii="Times New Roman" w:hAnsi="Times New Roman" w:cs="Times New Roman"/>
          <w:bCs/>
        </w:rPr>
      </w:pPr>
      <w:r>
        <w:rPr>
          <w:rFonts w:ascii="Times New Roman" w:hAnsi="Times New Roman" w:cs="Times New Roman"/>
          <w:bCs/>
        </w:rPr>
        <w:t xml:space="preserve">19.3.12. Стороны установили, что на сумму обеспечительного платежа начисление процентов не осуществляется.</w:t>
      </w:r>
      <w:r>
        <w:rPr>
          <w:rFonts w:ascii="Times New Roman" w:hAnsi="Times New Roman" w:cs="Times New Roman"/>
          <w:bCs/>
        </w:rPr>
      </w:r>
    </w:p>
    <w:p>
      <w:pPr>
        <w:ind w:firstLine="709"/>
        <w:jc w:val="both"/>
        <w:spacing w:after="0" w:line="240" w:lineRule="auto"/>
        <w:tabs>
          <w:tab w:val="left" w:pos="0" w:leader="none"/>
        </w:tabs>
        <w:rPr>
          <w:rFonts w:ascii="Times New Roman" w:hAnsi="Times New Roman" w:cs="Times New Roman"/>
        </w:rPr>
      </w:pPr>
      <w:r>
        <w:rPr>
          <w:rFonts w:ascii="Times New Roman" w:hAnsi="Times New Roman" w:cs="Times New Roman"/>
          <w:bCs/>
        </w:rPr>
        <w:t xml:space="preserve">19.4. </w:t>
      </w:r>
      <w:r>
        <w:rPr>
          <w:rFonts w:ascii="Times New Roman" w:hAnsi="Times New Roman" w:cs="Times New Roman"/>
        </w:rPr>
        <w:t xml:space="preserve">Требования к обеспечительному платежу, предоставл</w:t>
      </w:r>
      <w:r>
        <w:rPr>
          <w:rFonts w:ascii="Times New Roman" w:hAnsi="Times New Roman" w:cs="Times New Roman"/>
        </w:rPr>
        <w:t xml:space="preserve">яемому в качестве обеспечения исполнения обязательств Поставщика, порядок и основания его списания и возврата Покупателем:</w:t>
      </w:r>
      <w:r>
        <w:rPr>
          <w:rFonts w:ascii="Times New Roman" w:hAnsi="Times New Roman" w:cs="Times New Roman"/>
        </w:rPr>
      </w:r>
    </w:p>
    <w:p>
      <w:pPr>
        <w:ind w:firstLine="709"/>
        <w:jc w:val="both"/>
        <w:spacing w:after="0" w:line="240" w:lineRule="auto"/>
        <w:tabs>
          <w:tab w:val="left" w:pos="0" w:leader="none"/>
        </w:tabs>
        <w:rPr>
          <w:rFonts w:ascii="Times New Roman" w:hAnsi="Times New Roman" w:cs="Times New Roman"/>
        </w:rPr>
      </w:pPr>
      <w:r>
        <w:rPr>
          <w:rFonts w:ascii="Times New Roman" w:hAnsi="Times New Roman" w:cs="Times New Roman"/>
        </w:rPr>
        <w:t xml:space="preserve">19.4.1.</w:t>
      </w:r>
      <w:r>
        <w:rPr>
          <w:rFonts w:ascii="Times New Roman" w:hAnsi="Times New Roman" w:cs="Times New Roman"/>
          <w:bCs/>
        </w:rPr>
        <w:t xml:space="preserve"> Сумма обеспечительного платежа, предоставляемого в качестве обеспечения исполнения Поставщиком обязательств по Договору должн</w:t>
      </w:r>
      <w:r>
        <w:rPr>
          <w:rFonts w:ascii="Times New Roman" w:hAnsi="Times New Roman" w:cs="Times New Roman"/>
          <w:bCs/>
        </w:rPr>
        <w:t xml:space="preserve">а составлять 3% от начальной (максимальной) цены Договора (цены лота).</w:t>
      </w:r>
      <w:r>
        <w:rPr>
          <w:rFonts w:ascii="Times New Roman" w:hAnsi="Times New Roman" w:cs="Times New Roman"/>
        </w:rPr>
        <w:t xml:space="preserve">  </w:t>
      </w:r>
      <w:r>
        <w:rPr>
          <w:rFonts w:ascii="Times New Roman" w:hAnsi="Times New Roman" w:cs="Times New Roman"/>
        </w:rPr>
      </w:r>
    </w:p>
    <w:p>
      <w:pPr>
        <w:ind w:firstLine="709"/>
        <w:jc w:val="both"/>
        <w:spacing w:after="0" w:line="240" w:lineRule="auto"/>
        <w:tabs>
          <w:tab w:val="left" w:pos="0" w:leader="none"/>
        </w:tabs>
        <w:rPr>
          <w:rFonts w:ascii="Times New Roman" w:hAnsi="Times New Roman" w:cs="Times New Roman"/>
        </w:rPr>
      </w:pPr>
      <w:r>
        <w:rPr>
          <w:rFonts w:ascii="Times New Roman" w:hAnsi="Times New Roman" w:cs="Times New Roman"/>
        </w:rPr>
        <w:t xml:space="preserve">19.4.2. Перечисление обеспечительного платежа должно быть совершено Поставщиком на счет Покупателя до даты заключения договора/дополнительного соглашения (в случае предоставления обес</w:t>
      </w:r>
      <w:r>
        <w:rPr>
          <w:rFonts w:ascii="Times New Roman" w:hAnsi="Times New Roman" w:cs="Times New Roman"/>
        </w:rPr>
        <w:t xml:space="preserve">печения исполнения обязательств впервые). </w:t>
      </w:r>
      <w:r>
        <w:rPr>
          <w:rFonts w:ascii="Times New Roman" w:hAnsi="Times New Roman" w:cs="Times New Roman"/>
        </w:rPr>
      </w:r>
    </w:p>
    <w:p>
      <w:pPr>
        <w:ind w:firstLine="709"/>
        <w:jc w:val="both"/>
        <w:spacing w:after="0" w:line="240" w:lineRule="auto"/>
        <w:tabs>
          <w:tab w:val="left" w:pos="0" w:leader="none"/>
        </w:tabs>
        <w:rPr>
          <w:rFonts w:ascii="Times New Roman" w:hAnsi="Times New Roman" w:cs="Times New Roman"/>
        </w:rPr>
      </w:pPr>
      <w:r>
        <w:rPr>
          <w:rFonts w:ascii="Times New Roman" w:hAnsi="Times New Roman" w:cs="Times New Roman"/>
        </w:rPr>
        <w:t xml:space="preserve">19.4.3. Поставщик предоставляет обеспечительный платеж на период исполнения обязательств по Договору до момента подписания последнего Документа о приемке Товара.</w:t>
      </w:r>
      <w:r>
        <w:rPr>
          <w:rFonts w:ascii="Times New Roman" w:hAnsi="Times New Roman" w:cs="Times New Roman"/>
        </w:rPr>
      </w:r>
    </w:p>
    <w:p>
      <w:pPr>
        <w:ind w:firstLine="709"/>
        <w:jc w:val="both"/>
        <w:spacing w:after="0" w:line="240" w:lineRule="auto"/>
        <w:tabs>
          <w:tab w:val="left" w:pos="840" w:leader="none"/>
        </w:tabs>
        <w:rPr>
          <w:rFonts w:ascii="Times New Roman" w:hAnsi="Times New Roman" w:cs="Times New Roman"/>
        </w:rPr>
      </w:pPr>
      <w:r>
        <w:rPr>
          <w:rFonts w:ascii="Times New Roman" w:hAnsi="Times New Roman" w:cs="Times New Roman"/>
        </w:rPr>
        <w:t xml:space="preserve">19.4.4. Обеспечительный платеж может быть использов</w:t>
      </w:r>
      <w:r>
        <w:rPr>
          <w:rFonts w:ascii="Times New Roman" w:hAnsi="Times New Roman" w:cs="Times New Roman"/>
        </w:rPr>
        <w:t xml:space="preserve">ан Покупателем для покрытия расходов, связанных с ненадлежащим исполнением Поставщиком обязательств по Договору, в том числе на возмещение убытков, связанных с таким неисполнением/ненадлежащим исполнением.</w:t>
      </w:r>
      <w:r>
        <w:rPr>
          <w:rFonts w:ascii="Times New Roman" w:hAnsi="Times New Roman" w:cs="Times New Roman"/>
        </w:rPr>
      </w:r>
    </w:p>
    <w:p>
      <w:pPr>
        <w:ind w:firstLine="709"/>
        <w:jc w:val="both"/>
        <w:spacing w:after="0" w:line="240" w:lineRule="auto"/>
        <w:tabs>
          <w:tab w:val="left" w:pos="840" w:leader="none"/>
        </w:tabs>
        <w:rPr>
          <w:rFonts w:ascii="Times New Roman" w:hAnsi="Times New Roman" w:cs="Times New Roman"/>
        </w:rPr>
      </w:pPr>
      <w:r>
        <w:rPr>
          <w:rFonts w:ascii="Times New Roman" w:hAnsi="Times New Roman" w:cs="Times New Roman"/>
        </w:rPr>
        <w:t xml:space="preserve">19.4.5. В случае принятия решения о списании обесп</w:t>
      </w:r>
      <w:r>
        <w:rPr>
          <w:rFonts w:ascii="Times New Roman" w:hAnsi="Times New Roman" w:cs="Times New Roman"/>
        </w:rPr>
        <w:t xml:space="preserve">ечительного платежа Покупатель в течение 3 (трех) рабочих дней направляет Поставщику информацию о списании обеспечительного платежа с указанием, в чем состоит нарушение обязательств, в обеспечение которых был перечислен обеспечительный платеж, а также с ук</w:t>
      </w:r>
      <w:r>
        <w:rPr>
          <w:rFonts w:ascii="Times New Roman" w:hAnsi="Times New Roman" w:cs="Times New Roman"/>
        </w:rPr>
        <w:t xml:space="preserve">азанием суммы списания, определенной в соответствии с Соглашением об обеспечительном платеже.</w:t>
      </w:r>
      <w:r>
        <w:rPr>
          <w:rFonts w:ascii="Times New Roman" w:hAnsi="Times New Roman" w:cs="Times New Roman"/>
        </w:rPr>
      </w:r>
    </w:p>
    <w:p>
      <w:pPr>
        <w:ind w:firstLine="709"/>
        <w:jc w:val="both"/>
        <w:spacing w:after="0" w:line="240" w:lineRule="auto"/>
        <w:tabs>
          <w:tab w:val="left" w:pos="840" w:leader="none"/>
        </w:tabs>
        <w:rPr>
          <w:rFonts w:ascii="Times New Roman" w:hAnsi="Times New Roman" w:cs="Times New Roman"/>
        </w:rPr>
      </w:pPr>
      <w:r>
        <w:rPr>
          <w:rFonts w:ascii="Times New Roman" w:hAnsi="Times New Roman" w:cs="Times New Roman"/>
        </w:rPr>
        <w:t xml:space="preserve">19.4.6</w:t>
      </w:r>
      <w:r>
        <w:rPr>
          <w:rFonts w:ascii="Times New Roman" w:hAnsi="Times New Roman" w:cs="Times New Roman"/>
          <w:highlight w:val="yellow"/>
        </w:rPr>
        <w:t xml:space="preserve">. Возврат обеспечительного платежа Поставщику до исполнения всех обязательств по Договору и подписания Документа о приемке Товара (в случае если Договором п</w:t>
      </w:r>
      <w:r>
        <w:rPr>
          <w:rFonts w:ascii="Times New Roman" w:hAnsi="Times New Roman" w:cs="Times New Roman"/>
          <w:highlight w:val="yellow"/>
        </w:rPr>
        <w:t xml:space="preserve">редусмотрена разовая приемка Товара и в Договоре отсутствуют дополнительные обязательства и услуги) </w:t>
      </w:r>
      <w:r>
        <w:rPr>
          <w:rFonts w:ascii="Times New Roman" w:hAnsi="Times New Roman" w:cs="Times New Roman"/>
          <w:i/>
          <w:highlight w:val="yellow"/>
        </w:rPr>
        <w:t xml:space="preserve">и актов оказания дополнительных услуг (в случае наличия соответствующих услуг в предмете Договора) </w:t>
      </w:r>
      <w:r>
        <w:rPr>
          <w:rFonts w:ascii="Times New Roman" w:hAnsi="Times New Roman" w:cs="Times New Roman"/>
          <w:highlight w:val="yellow"/>
        </w:rPr>
        <w:t xml:space="preserve">не допускается, за исключением случаев предоставления Пос</w:t>
      </w:r>
      <w:r>
        <w:rPr>
          <w:rFonts w:ascii="Times New Roman" w:hAnsi="Times New Roman" w:cs="Times New Roman"/>
          <w:highlight w:val="yellow"/>
        </w:rPr>
        <w:t xml:space="preserve">тавщиком взамен обеспечения в форме обеспечительного платежа иного способа обеспечения исполнения обязательств, удовлетворяющего требованиям настоящего Договора.</w:t>
      </w:r>
      <w:r>
        <w:rPr>
          <w:rFonts w:ascii="Times New Roman" w:hAnsi="Times New Roman" w:cs="Times New Roman"/>
        </w:rPr>
      </w:r>
    </w:p>
    <w:p>
      <w:pPr>
        <w:ind w:firstLine="709"/>
        <w:jc w:val="both"/>
        <w:spacing w:after="0" w:line="240" w:lineRule="auto"/>
        <w:tabs>
          <w:tab w:val="left" w:pos="840" w:leader="none"/>
        </w:tabs>
        <w:rPr>
          <w:rFonts w:ascii="Times New Roman" w:hAnsi="Times New Roman" w:cs="Times New Roman"/>
        </w:rPr>
      </w:pPr>
      <w:r>
        <w:rPr>
          <w:rFonts w:ascii="Times New Roman" w:hAnsi="Times New Roman" w:cs="Times New Roman"/>
        </w:rPr>
        <w:t xml:space="preserve">В случае замены Поставщиком обеспечительного платежа иным способом обеспечения в порядке и на </w:t>
      </w:r>
      <w:r>
        <w:rPr>
          <w:rFonts w:ascii="Times New Roman" w:hAnsi="Times New Roman" w:cs="Times New Roman"/>
        </w:rPr>
        <w:t xml:space="preserve">условиях, предусмотренных Договором, возврат обеспечительного платежа Поставщику осуществляется в течение 30 (тридцати) календарных дней со дня получения Покупателем альтернативного способа обеспечения.</w:t>
      </w:r>
      <w:r>
        <w:rPr>
          <w:rFonts w:ascii="Times New Roman" w:hAnsi="Times New Roman" w:cs="Times New Roman"/>
        </w:rPr>
      </w:r>
    </w:p>
    <w:p>
      <w:pPr>
        <w:ind w:firstLine="709"/>
        <w:jc w:val="both"/>
        <w:spacing w:after="0" w:line="240" w:lineRule="auto"/>
        <w:tabs>
          <w:tab w:val="left" w:pos="840" w:leader="none"/>
        </w:tabs>
        <w:rPr>
          <w:rFonts w:ascii="Times New Roman" w:hAnsi="Times New Roman" w:cs="Times New Roman"/>
        </w:rPr>
      </w:pPr>
      <w:r>
        <w:rPr>
          <w:rFonts w:ascii="Times New Roman" w:hAnsi="Times New Roman" w:cs="Times New Roman"/>
        </w:rPr>
        <w:t xml:space="preserve">19.4.7. Возврат обеспечительного платежа, предоставле</w:t>
      </w:r>
      <w:r>
        <w:rPr>
          <w:rFonts w:ascii="Times New Roman" w:hAnsi="Times New Roman" w:cs="Times New Roman"/>
        </w:rPr>
        <w:t xml:space="preserve">нного Поставщиком в качестве обеспечения исполнения обязательств по Договору, за вычетом средств, использованных Покупателем для возмещения своих убытков, связанных с нарушением Поставщиком условий Договора, производится в течение 30 (Тридцати) календарных</w:t>
      </w:r>
      <w:r>
        <w:rPr>
          <w:rFonts w:ascii="Times New Roman" w:hAnsi="Times New Roman" w:cs="Times New Roman"/>
        </w:rPr>
        <w:t xml:space="preserve"> дней со дня подписания Документа о приемке Товара </w:t>
      </w:r>
      <w:r>
        <w:rPr>
          <w:rFonts w:ascii="Times New Roman" w:hAnsi="Times New Roman" w:cs="Times New Roman"/>
          <w:highlight w:val="yellow"/>
        </w:rPr>
        <w:t xml:space="preserve">/ </w:t>
      </w:r>
      <w:r>
        <w:rPr>
          <w:rFonts w:ascii="Times New Roman" w:hAnsi="Times New Roman" w:cs="Times New Roman"/>
          <w:i/>
          <w:highlight w:val="yellow"/>
        </w:rPr>
        <w:t xml:space="preserve">актов оказания дополнительных услуг (в случае наличия соответствующих услуг в предмете Договора)</w:t>
      </w:r>
      <w:r>
        <w:rPr>
          <w:rFonts w:ascii="Times New Roman" w:hAnsi="Times New Roman" w:cs="Times New Roman"/>
        </w:rPr>
        <w:t xml:space="preserve"> при условии предоставления Поставщиком обеспечения исполнения обязательств в гарантийный период в соответс</w:t>
      </w:r>
      <w:r>
        <w:rPr>
          <w:rFonts w:ascii="Times New Roman" w:hAnsi="Times New Roman" w:cs="Times New Roman"/>
        </w:rPr>
        <w:t xml:space="preserve">твии с требованиями, установленными настоящим Договором.</w:t>
      </w:r>
      <w:r>
        <w:rPr>
          <w:rFonts w:ascii="Times New Roman" w:hAnsi="Times New Roman" w:cs="Times New Roman"/>
        </w:rPr>
      </w:r>
    </w:p>
    <w:p>
      <w:pPr>
        <w:ind w:firstLine="709"/>
        <w:jc w:val="both"/>
        <w:spacing w:after="0" w:line="240" w:lineRule="auto"/>
        <w:tabs>
          <w:tab w:val="left" w:pos="840" w:leader="none"/>
        </w:tabs>
        <w:rPr>
          <w:rFonts w:ascii="Times New Roman" w:hAnsi="Times New Roman" w:cs="Times New Roman"/>
        </w:rPr>
      </w:pPr>
      <w:r>
        <w:rPr>
          <w:rFonts w:ascii="Times New Roman" w:hAnsi="Times New Roman" w:cs="Times New Roman"/>
        </w:rPr>
        <w:t xml:space="preserve">В случае непредоставления Поставщиком обеспечения исполнения обязательств в гарантийный период возврат обеспечительного платежа Покупателем не осуществляется.</w:t>
      </w:r>
      <w:r>
        <w:rPr>
          <w:rFonts w:ascii="Times New Roman" w:hAnsi="Times New Roman" w:cs="Times New Roman"/>
        </w:rPr>
      </w:r>
    </w:p>
    <w:p>
      <w:pPr>
        <w:ind w:firstLine="709"/>
        <w:jc w:val="both"/>
        <w:spacing w:after="0" w:line="240" w:lineRule="auto"/>
        <w:tabs>
          <w:tab w:val="left" w:pos="840" w:leader="none"/>
        </w:tabs>
        <w:rPr>
          <w:rFonts w:ascii="Times New Roman" w:hAnsi="Times New Roman" w:cs="Times New Roman"/>
        </w:rPr>
      </w:pPr>
      <w:r>
        <w:rPr>
          <w:rFonts w:ascii="Times New Roman" w:hAnsi="Times New Roman" w:cs="Times New Roman"/>
        </w:rPr>
        <w:t xml:space="preserve">19.4.8.</w:t>
      </w:r>
      <w:r>
        <w:rPr>
          <w:rFonts w:ascii="Times New Roman" w:hAnsi="Times New Roman" w:cs="Times New Roman"/>
          <w:lang w:val="en-US"/>
        </w:rPr>
        <w:t xml:space="preserve"> </w:t>
      </w:r>
      <w:r>
        <w:rPr>
          <w:rFonts w:ascii="Times New Roman" w:hAnsi="Times New Roman" w:cs="Times New Roman"/>
        </w:rPr>
        <w:t xml:space="preserve">При расторжении (прекращении) До</w:t>
      </w:r>
      <w:r>
        <w:rPr>
          <w:rFonts w:ascii="Times New Roman" w:hAnsi="Times New Roman" w:cs="Times New Roman"/>
        </w:rPr>
        <w:t xml:space="preserve">говора по основаниям, связанным с неисполнением/ненадлежащем исполнением обязательств Поставщиком по Договору, обеспечительный платеж возврату не подлежит.</w:t>
      </w:r>
      <w:r>
        <w:rPr>
          <w:rFonts w:ascii="Times New Roman" w:hAnsi="Times New Roman" w:cs="Times New Roman"/>
        </w:rPr>
      </w:r>
    </w:p>
    <w:p>
      <w:pPr>
        <w:ind w:firstLine="709"/>
        <w:jc w:val="both"/>
        <w:spacing w:after="0" w:line="240" w:lineRule="auto"/>
        <w:tabs>
          <w:tab w:val="left" w:pos="840" w:leader="none"/>
        </w:tabs>
        <w:rPr>
          <w:rFonts w:ascii="Times New Roman" w:hAnsi="Times New Roman" w:cs="Times New Roman"/>
        </w:rPr>
      </w:pPr>
      <w:r>
        <w:rPr>
          <w:rFonts w:ascii="Times New Roman" w:hAnsi="Times New Roman" w:cs="Times New Roman"/>
        </w:rPr>
        <w:t xml:space="preserve">19.5. Требования к обеспечительному платежу, предоставляемому в качестве обеспечения исполнения обяз</w:t>
      </w:r>
      <w:r>
        <w:rPr>
          <w:rFonts w:ascii="Times New Roman" w:hAnsi="Times New Roman" w:cs="Times New Roman"/>
        </w:rPr>
        <w:t xml:space="preserve">ательств Поставщика в гарантийный период, порядок и основания его списания и возврата Покупателем:</w:t>
      </w:r>
      <w:r>
        <w:rPr>
          <w:rFonts w:ascii="Times New Roman" w:hAnsi="Times New Roman" w:cs="Times New Roman"/>
        </w:rPr>
      </w:r>
    </w:p>
    <w:p>
      <w:pPr>
        <w:ind w:firstLine="709"/>
        <w:jc w:val="both"/>
        <w:spacing w:after="0" w:line="240" w:lineRule="auto"/>
        <w:rPr>
          <w:rFonts w:ascii="Times New Roman" w:hAnsi="Times New Roman" w:cs="Times New Roman"/>
          <w:bCs/>
        </w:rPr>
      </w:pPr>
      <w:r>
        <w:rPr>
          <w:rFonts w:ascii="Times New Roman" w:hAnsi="Times New Roman" w:cs="Times New Roman"/>
          <w:bCs/>
        </w:rPr>
        <w:t xml:space="preserve">19.5.1. Сумма обеспечительного платежа, предоставляемого в качестве обеспечения гарантийных обязательств по Договору, должна составлять 5% от цены Договора (</w:t>
      </w:r>
      <w:r>
        <w:rPr>
          <w:rFonts w:ascii="Times New Roman" w:hAnsi="Times New Roman" w:cs="Times New Roman"/>
          <w:bCs/>
        </w:rPr>
        <w:t xml:space="preserve">включая НДС).</w:t>
      </w:r>
      <w:r>
        <w:rPr>
          <w:rFonts w:ascii="Times New Roman" w:hAnsi="Times New Roman" w:cs="Times New Roman"/>
          <w:bCs/>
        </w:rPr>
      </w:r>
    </w:p>
    <w:p>
      <w:pPr>
        <w:ind w:firstLine="709"/>
        <w:jc w:val="both"/>
        <w:spacing w:after="0" w:line="240" w:lineRule="auto"/>
        <w:rPr>
          <w:rFonts w:ascii="Times New Roman" w:hAnsi="Times New Roman" w:cs="Times New Roman"/>
          <w:bCs/>
        </w:rPr>
      </w:pPr>
      <w:r>
        <w:rPr>
          <w:rFonts w:ascii="Times New Roman" w:hAnsi="Times New Roman" w:cs="Times New Roman"/>
          <w:bCs/>
        </w:rPr>
        <w:t xml:space="preserve">19.5.2. Перечисление обеспечительного платежа осуществляется Поставщиком на обособленный счет Покупателя. Перечисление обеспечительного платежа должно быть совершено Поставщиком не позднее даты начала гарантийного срока по Договору.</w:t>
      </w:r>
      <w:r>
        <w:rPr>
          <w:rFonts w:ascii="Times New Roman" w:hAnsi="Times New Roman" w:cs="Times New Roman"/>
          <w:bCs/>
        </w:rPr>
      </w:r>
    </w:p>
    <w:p>
      <w:pPr>
        <w:ind w:firstLine="709"/>
        <w:jc w:val="both"/>
        <w:spacing w:after="0" w:line="240" w:lineRule="auto"/>
        <w:tabs>
          <w:tab w:val="left" w:pos="840" w:leader="none"/>
        </w:tabs>
        <w:rPr>
          <w:rFonts w:ascii="Times New Roman" w:hAnsi="Times New Roman" w:cs="Times New Roman"/>
          <w:bCs/>
        </w:rPr>
      </w:pPr>
      <w:r>
        <w:rPr>
          <w:rFonts w:ascii="Times New Roman" w:hAnsi="Times New Roman" w:cs="Times New Roman"/>
          <w:bCs/>
        </w:rPr>
        <w:t xml:space="preserve">19.5.3. Поставщик предоставляет обеспечительный платеж на период гарантийной эксплуатации Товара до момента окончания гарантийного срока</w:t>
      </w:r>
      <w:r>
        <w:rPr>
          <w:rFonts w:ascii="Times New Roman" w:hAnsi="Times New Roman" w:cs="Times New Roman"/>
        </w:rPr>
        <w:t xml:space="preserve"> </w:t>
      </w:r>
      <w:r>
        <w:rPr>
          <w:rFonts w:ascii="Times New Roman" w:hAnsi="Times New Roman" w:cs="Times New Roman"/>
          <w:highlight w:val="yellow"/>
        </w:rPr>
        <w:t xml:space="preserve">и подписания протокола об отсутствии взаимных претензий.</w:t>
      </w:r>
      <w:r>
        <w:rPr>
          <w:rFonts w:ascii="Times New Roman" w:hAnsi="Times New Roman" w:cs="Times New Roman"/>
          <w:bCs/>
        </w:rPr>
      </w:r>
    </w:p>
    <w:p>
      <w:pPr>
        <w:ind w:firstLine="709"/>
        <w:jc w:val="both"/>
        <w:spacing w:after="0" w:line="240" w:lineRule="auto"/>
        <w:tabs>
          <w:tab w:val="left" w:pos="840" w:leader="none"/>
        </w:tabs>
        <w:rPr>
          <w:rFonts w:ascii="Times New Roman" w:hAnsi="Times New Roman" w:cs="Times New Roman"/>
          <w:bCs/>
        </w:rPr>
      </w:pPr>
      <w:r>
        <w:rPr>
          <w:rFonts w:ascii="Times New Roman" w:hAnsi="Times New Roman" w:cs="Times New Roman"/>
          <w:bCs/>
        </w:rPr>
        <w:t xml:space="preserve">19.5.4. Обеспечительный платеж может быть использован Покупате</w:t>
      </w:r>
      <w:r>
        <w:rPr>
          <w:rFonts w:ascii="Times New Roman" w:hAnsi="Times New Roman" w:cs="Times New Roman"/>
          <w:bCs/>
        </w:rPr>
        <w:t xml:space="preserve">лем для покрытия расходов, связанных с ненадлежащим исполнением Поставщиком обязательств в гарантийный период.</w:t>
      </w:r>
      <w:r>
        <w:rPr>
          <w:rFonts w:ascii="Times New Roman" w:hAnsi="Times New Roman" w:cs="Times New Roman"/>
          <w:bCs/>
        </w:rPr>
      </w:r>
    </w:p>
    <w:p>
      <w:pPr>
        <w:ind w:firstLine="709"/>
        <w:jc w:val="both"/>
        <w:spacing w:after="0" w:line="240" w:lineRule="auto"/>
        <w:tabs>
          <w:tab w:val="left" w:pos="840" w:leader="none"/>
        </w:tabs>
        <w:rPr>
          <w:rFonts w:ascii="Times New Roman" w:hAnsi="Times New Roman" w:cs="Times New Roman"/>
          <w:bCs/>
        </w:rPr>
      </w:pPr>
      <w:r>
        <w:rPr>
          <w:rFonts w:ascii="Times New Roman" w:hAnsi="Times New Roman" w:cs="Times New Roman"/>
          <w:bCs/>
        </w:rPr>
        <w:t xml:space="preserve">19.5.5. В случае принятия решения о списании обеспечительного платежа Покупатель в течение 3 (трех) рабочих дней направляет Поставщику информацию</w:t>
      </w:r>
      <w:r>
        <w:rPr>
          <w:rFonts w:ascii="Times New Roman" w:hAnsi="Times New Roman" w:cs="Times New Roman"/>
          <w:bCs/>
        </w:rPr>
        <w:t xml:space="preserve"> о списании обеспечительного платежа с указанием, в чем состоит нарушение обязательств, в обеспечение которых был перечислен обеспечительный платеж, а также с указанием суммы списания, определенной в соответствии с условиями соглашения об обеспечительном п</w:t>
      </w:r>
      <w:r>
        <w:rPr>
          <w:rFonts w:ascii="Times New Roman" w:hAnsi="Times New Roman" w:cs="Times New Roman"/>
          <w:bCs/>
        </w:rPr>
        <w:t xml:space="preserve">латеже.</w:t>
      </w:r>
      <w:r>
        <w:rPr>
          <w:rFonts w:ascii="Times New Roman" w:hAnsi="Times New Roman" w:cs="Times New Roman"/>
          <w:bCs/>
        </w:rPr>
      </w:r>
    </w:p>
    <w:p>
      <w:pPr>
        <w:ind w:firstLine="709"/>
        <w:jc w:val="both"/>
        <w:spacing w:after="0" w:line="240" w:lineRule="auto"/>
        <w:tabs>
          <w:tab w:val="left" w:pos="840" w:leader="none"/>
        </w:tabs>
        <w:rPr>
          <w:rFonts w:ascii="Times New Roman" w:hAnsi="Times New Roman" w:cs="Times New Roman"/>
        </w:rPr>
      </w:pPr>
      <w:r>
        <w:rPr>
          <w:rFonts w:ascii="Times New Roman" w:hAnsi="Times New Roman" w:cs="Times New Roman"/>
          <w:bCs/>
        </w:rPr>
        <w:t xml:space="preserve">19.5.6. Возврат обеспечительного платежа Поставщику до момента окончания гарантийного срока не допускается,</w:t>
      </w:r>
      <w:r>
        <w:rPr>
          <w:rFonts w:ascii="Times New Roman" w:hAnsi="Times New Roman" w:cs="Times New Roman"/>
        </w:rPr>
        <w:t xml:space="preserve"> за исключением случаев предоставления Поставщиком взамен обеспечения в форме обеспечительного платежа иного способа обеспечения гарантийных </w:t>
      </w:r>
      <w:r>
        <w:rPr>
          <w:rFonts w:ascii="Times New Roman" w:hAnsi="Times New Roman" w:cs="Times New Roman"/>
        </w:rPr>
        <w:t xml:space="preserve">обязательств, удовлетворяющего требованиям настоящего Договора.</w:t>
      </w:r>
      <w:r>
        <w:rPr>
          <w:rFonts w:ascii="Times New Roman" w:hAnsi="Times New Roman" w:cs="Times New Roman"/>
        </w:rPr>
      </w:r>
    </w:p>
    <w:p>
      <w:pPr>
        <w:ind w:firstLine="709"/>
        <w:jc w:val="both"/>
        <w:spacing w:after="0" w:line="240" w:lineRule="auto"/>
        <w:tabs>
          <w:tab w:val="left" w:pos="840" w:leader="none"/>
        </w:tabs>
        <w:rPr>
          <w:rFonts w:ascii="Times New Roman" w:hAnsi="Times New Roman" w:cs="Times New Roman"/>
          <w:bCs/>
        </w:rPr>
      </w:pPr>
      <w:r>
        <w:rPr>
          <w:rFonts w:ascii="Times New Roman" w:hAnsi="Times New Roman" w:cs="Times New Roman"/>
        </w:rPr>
        <w:t xml:space="preserve">В случае замены Поставщиком обеспечительного платежа иным способом обеспечения в порядке и на условиях, предусмотренных Договором, возврат обеспечительного платежа Поставщику осуществляется в </w:t>
      </w:r>
      <w:r>
        <w:rPr>
          <w:rFonts w:ascii="Times New Roman" w:hAnsi="Times New Roman" w:cs="Times New Roman"/>
        </w:rPr>
        <w:t xml:space="preserve">течение 30 (тридцати) календарных дней со дня получения Покупателем альтернативного способа обеспечения гарантийных обязательств.</w:t>
      </w:r>
      <w:r>
        <w:rPr>
          <w:rFonts w:ascii="Times New Roman" w:hAnsi="Times New Roman" w:cs="Times New Roman"/>
          <w:bCs/>
        </w:rPr>
      </w:r>
    </w:p>
    <w:p>
      <w:pPr>
        <w:contextualSpacing/>
        <w:ind w:firstLine="709"/>
        <w:jc w:val="both"/>
        <w:spacing w:after="0" w:line="240" w:lineRule="auto"/>
        <w:widowControl w:val="off"/>
        <w:rPr>
          <w:rFonts w:ascii="Times New Roman" w:hAnsi="Times New Roman" w:eastAsia="Times New Roman" w:cs="Times New Roman"/>
          <w:bCs/>
          <w:lang w:eastAsia="ru-RU"/>
        </w:rPr>
      </w:pPr>
      <w:r>
        <w:rPr>
          <w:rFonts w:ascii="Times New Roman" w:hAnsi="Times New Roman" w:eastAsia="Times New Roman" w:cs="Times New Roman"/>
          <w:bCs/>
          <w:lang w:eastAsia="ru-RU"/>
        </w:rPr>
        <w:t xml:space="preserve">19.5.7. Возврат обеспечительного платежа, предоставленного Поставщиком в качестве обеспечения исполнения обязательств в гарант</w:t>
      </w:r>
      <w:r>
        <w:rPr>
          <w:rFonts w:ascii="Times New Roman" w:hAnsi="Times New Roman" w:eastAsia="Times New Roman" w:cs="Times New Roman"/>
          <w:bCs/>
          <w:lang w:eastAsia="ru-RU"/>
        </w:rPr>
        <w:t xml:space="preserve">ийный период, за вычетом средств, использованных Покупателем для возмещения своих убытков, связанных с неисполнением/ненадлежащим исполнением обязательств в гарантийный период осуществляется Покупателем в течение 30 дней со дня окончания гарантийного срока</w:t>
      </w:r>
      <w:r>
        <w:rPr>
          <w:rFonts w:ascii="Times New Roman" w:hAnsi="Times New Roman" w:eastAsia="Times New Roman" w:cs="Times New Roman"/>
          <w:bCs/>
          <w:lang w:eastAsia="ru-RU"/>
        </w:rPr>
        <w:t xml:space="preserve"> и подписания протокола об отсутствии взаимных претензий.</w:t>
      </w:r>
      <w:r>
        <w:rPr>
          <w:rFonts w:ascii="Times New Roman" w:hAnsi="Times New Roman" w:eastAsia="Times New Roman" w:cs="Times New Roman"/>
          <w:bCs/>
          <w:lang w:eastAsia="ru-RU"/>
        </w:rPr>
      </w:r>
    </w:p>
    <w:p>
      <w:pPr>
        <w:contextualSpacing/>
        <w:ind w:firstLine="709"/>
        <w:jc w:val="both"/>
        <w:spacing w:after="0" w:line="240" w:lineRule="auto"/>
        <w:widowControl w:val="off"/>
        <w:rPr>
          <w:rFonts w:ascii="Times New Roman" w:hAnsi="Times New Roman" w:eastAsia="Times New Roman" w:cs="Times New Roman"/>
          <w:lang w:eastAsia="ru-RU"/>
        </w:rPr>
      </w:pPr>
      <w:r>
        <w:rPr>
          <w:rFonts w:ascii="Times New Roman" w:hAnsi="Times New Roman" w:eastAsia="Times New Roman" w:cs="Times New Roman"/>
          <w:lang w:eastAsia="ru-RU"/>
        </w:rPr>
        <w:t xml:space="preserve">20. Затраты на осуществление обеспечения обязательств Поставщика по Договору производятся Поставщиком за счет собственных средств и не компенсируются Покупателем.</w:t>
      </w:r>
      <w:r>
        <w:rPr>
          <w:rFonts w:ascii="Times New Roman" w:hAnsi="Times New Roman" w:eastAsia="Times New Roman" w:cs="Times New Roman"/>
          <w:lang w:eastAsia="ru-RU"/>
        </w:rPr>
      </w:r>
    </w:p>
    <w:p>
      <w:pPr>
        <w:ind w:firstLine="709"/>
        <w:jc w:val="both"/>
        <w:spacing w:after="0" w:line="240" w:lineRule="auto"/>
        <w:tabs>
          <w:tab w:val="left" w:pos="840" w:leader="none"/>
        </w:tabs>
        <w:rPr>
          <w:rFonts w:ascii="Times New Roman" w:hAnsi="Times New Roman" w:cs="Times New Roman"/>
        </w:rPr>
      </w:pPr>
      <w:r>
        <w:rPr>
          <w:rFonts w:ascii="Times New Roman" w:hAnsi="Times New Roman" w:cs="Times New Roman"/>
        </w:rPr>
        <w:t xml:space="preserve">21. При расторжении (прекращении) Договора по основаниям, связанным с неисполнением/ненадлежащем исполнением Поставщиком обязательств по Договору, обеспечительный платеж возврату не подлежит.</w:t>
      </w:r>
      <w:r>
        <w:rPr>
          <w:rFonts w:ascii="Times New Roman" w:hAnsi="Times New Roman" w:cs="Times New Roman"/>
        </w:rPr>
      </w:r>
    </w:p>
    <w:p>
      <w:pPr>
        <w:ind w:firstLine="709"/>
        <w:jc w:val="both"/>
        <w:spacing w:after="0" w:line="240" w:lineRule="auto"/>
        <w:tabs>
          <w:tab w:val="left" w:pos="840" w:leader="none"/>
        </w:tabs>
        <w:rPr>
          <w:rFonts w:ascii="Times New Roman" w:hAnsi="Times New Roman" w:cs="Times New Roman"/>
        </w:rPr>
      </w:pPr>
      <w:r>
        <w:rPr>
          <w:rFonts w:ascii="Times New Roman" w:hAnsi="Times New Roman" w:cs="Times New Roman"/>
        </w:rPr>
        <w:t xml:space="preserve">22. По согласованию с Покупателем вид финансового обеспечения по</w:t>
      </w:r>
      <w:r>
        <w:rPr>
          <w:rFonts w:ascii="Times New Roman" w:hAnsi="Times New Roman" w:cs="Times New Roman"/>
        </w:rPr>
        <w:t xml:space="preserve"> Договору может быть изменен в любой момент в период исполнения Договора либо в период гарантийной эксплуатации Товара на альтернативный, предусмотренный условиями и отвечающий требованиям Договора, по письменному обращению Поставщика.</w:t>
      </w:r>
      <w:r>
        <w:rPr>
          <w:rFonts w:ascii="Times New Roman" w:hAnsi="Times New Roman" w:cs="Times New Roman"/>
        </w:rPr>
      </w:r>
    </w:p>
    <w:p>
      <w:pPr>
        <w:ind w:firstLine="567"/>
        <w:jc w:val="both"/>
        <w:spacing w:after="0" w:line="240" w:lineRule="auto"/>
        <w:shd w:val="clear" w:color="auto" w:fill="ffffff"/>
        <w:widowControl w:val="off"/>
        <w:tabs>
          <w:tab w:val="left" w:pos="284" w:leader="none"/>
          <w:tab w:val="left" w:pos="426" w:leader="none"/>
          <w:tab w:val="left" w:pos="5328" w:leader="none"/>
        </w:tabs>
        <w:rPr>
          <w:rFonts w:ascii="Times New Roman" w:hAnsi="Times New Roman" w:cs="Times New Roman"/>
        </w:rPr>
      </w:pPr>
      <w:r>
        <w:rPr>
          <w:rFonts w:ascii="Times New Roman" w:hAnsi="Times New Roman" w:cs="Times New Roman"/>
        </w:rPr>
        <w:t xml:space="preserve">23. Договор не подле</w:t>
      </w:r>
      <w:r>
        <w:rPr>
          <w:rFonts w:ascii="Times New Roman" w:hAnsi="Times New Roman" w:cs="Times New Roman"/>
        </w:rPr>
        <w:t xml:space="preserve">жит заключению в отсутствие предусмотренных настоящей статьей способа обеспечения обязательств. Такой отказ от заключения Договора не признается уклонением Покупателя от заключения Договора и не является нарушением.</w:t>
      </w:r>
      <w:bookmarkEnd w:id="5"/>
      <w:r/>
      <w:bookmarkEnd w:id="6"/>
      <w:r/>
      <w:r>
        <w:rPr>
          <w:rFonts w:ascii="Times New Roman" w:hAnsi="Times New Roman" w:cs="Times New Roman"/>
        </w:rPr>
      </w:r>
    </w:p>
    <w:p>
      <w:pPr>
        <w:ind w:firstLine="567"/>
        <w:jc w:val="both"/>
        <w:spacing w:after="0" w:line="240" w:lineRule="auto"/>
        <w:shd w:val="clear" w:color="auto" w:fill="ffffff"/>
        <w:widowControl w:val="off"/>
        <w:tabs>
          <w:tab w:val="left" w:pos="284" w:leader="none"/>
          <w:tab w:val="left" w:pos="426" w:leader="none"/>
          <w:tab w:val="left" w:pos="5328" w:leader="none"/>
        </w:tabs>
        <w:rPr>
          <w:rFonts w:ascii="Times New Roman" w:hAnsi="Times New Roman" w:cs="Times New Roman"/>
        </w:rPr>
      </w:pPr>
      <w:r>
        <w:rPr>
          <w:rFonts w:ascii="Times New Roman" w:hAnsi="Times New Roman" w:cs="Times New Roman"/>
        </w:rPr>
      </w:r>
      <w:r>
        <w:rPr>
          <w:rFonts w:ascii="Times New Roman" w:hAnsi="Times New Roman" w:cs="Times New Roman"/>
        </w:rPr>
      </w:r>
    </w:p>
    <w:tbl>
      <w:tblPr>
        <w:tblW w:w="0" w:type="dxa"/>
        <w:tblInd w:w="108" w:type="dxa"/>
        <w:tblLayout w:type="fixed"/>
        <w:tblLook w:val="01E0" w:firstRow="1" w:lastRow="1" w:firstColumn="1" w:lastColumn="1" w:noHBand="0" w:noVBand="0"/>
      </w:tblPr>
      <w:tblGrid>
        <w:gridCol w:w="9639"/>
        <w:gridCol w:w="5529"/>
      </w:tblGrid>
      <w:tr>
        <w:tblPrEx/>
        <w:trPr/>
        <w:tc>
          <w:tcPr>
            <w:tcW w:w="9639" w:type="dxa"/>
            <w:textDirection w:val="lrTb"/>
            <w:noWrap w:val="false"/>
          </w:tcPr>
          <w:p>
            <w:pPr>
              <w:ind w:left="1134" w:right="317" w:hanging="1134"/>
              <w:spacing w:after="0" w:line="240" w:lineRule="auto"/>
              <w:widowControl w:val="off"/>
              <w:tabs>
                <w:tab w:val="left" w:pos="1134" w:leader="none"/>
              </w:tabs>
              <w:rPr>
                <w:rFonts w:ascii="Times New Roman" w:hAnsi="Times New Roman" w:eastAsia="Arial Unicode MS" w:cs="Times New Roman"/>
                <w:color w:val="000000"/>
              </w:rPr>
              <w:pBdr>
                <w:top w:val="none" w:color="000000" w:sz="4" w:space="0"/>
                <w:left w:val="none" w:color="000000" w:sz="4" w:space="0"/>
                <w:bottom w:val="none" w:color="000000" w:sz="4" w:space="0"/>
                <w:right w:val="none" w:color="000000" w:sz="4" w:space="0"/>
                <w:between w:val="none" w:color="000000" w:sz="4" w:space="0"/>
              </w:pBdr>
              <w:outlineLvl w:val="0"/>
              <w:suppressLineNumbers/>
            </w:pPr>
            <w:r>
              <w:rPr>
                <w:rFonts w:ascii="Times New Roman" w:hAnsi="Times New Roman" w:eastAsia="Arial Unicode MS" w:cs="Times New Roman"/>
                <w:color w:val="000000"/>
              </w:rPr>
              <w:t xml:space="preserve">ПОКУПАТЕЛЬ</w:t>
            </w:r>
            <w:r>
              <w:rPr>
                <w:rFonts w:ascii="Times New Roman" w:hAnsi="Times New Roman" w:eastAsia="Arial Unicode MS" w:cs="Times New Roman"/>
                <w:color w:val="000000"/>
              </w:rPr>
            </w:r>
          </w:p>
          <w:p>
            <w:pPr>
              <w:spacing w:after="0" w:line="240" w:lineRule="auto"/>
              <w:widowControl w:val="off"/>
              <w:rPr>
                <w:rFonts w:ascii="Times New Roman" w:hAnsi="Times New Roman" w:cs="Times New Roman"/>
              </w:rPr>
            </w:pPr>
            <w:r>
              <w:rPr>
                <w:rFonts w:ascii="Times New Roman" w:hAnsi="Times New Roman" w:cs="Times New Roman"/>
              </w:rPr>
              <w:t xml:space="preserve">_______________________</w:t>
            </w:r>
            <w:r>
              <w:rPr>
                <w:rFonts w:ascii="Times New Roman" w:hAnsi="Times New Roman" w:cs="Times New Roman"/>
              </w:rPr>
            </w:r>
          </w:p>
          <w:p>
            <w:pPr>
              <w:ind w:left="1134" w:right="317" w:hanging="1134"/>
              <w:spacing w:after="0" w:line="240" w:lineRule="auto"/>
              <w:widowControl w:val="off"/>
              <w:tabs>
                <w:tab w:val="left" w:pos="1134" w:leader="none"/>
              </w:tabs>
              <w:rPr>
                <w:rFonts w:ascii="Times New Roman" w:hAnsi="Times New Roman" w:eastAsia="Arial Unicode MS" w:cs="Times New Roman"/>
                <w:color w:val="000000"/>
                <w:lang w:val="en-US"/>
              </w:rPr>
              <w:pBdr>
                <w:top w:val="none" w:color="000000" w:sz="4" w:space="0"/>
                <w:left w:val="none" w:color="000000" w:sz="4" w:space="0"/>
                <w:bottom w:val="none" w:color="000000" w:sz="4" w:space="0"/>
                <w:right w:val="none" w:color="000000" w:sz="4" w:space="0"/>
                <w:between w:val="none" w:color="000000" w:sz="4" w:space="0"/>
              </w:pBdr>
              <w:outlineLvl w:val="0"/>
              <w:suppressLineNumbers/>
            </w:pPr>
            <w:r>
              <w:rPr>
                <w:rFonts w:ascii="Times New Roman" w:hAnsi="Times New Roman" w:eastAsia="Arial Unicode MS" w:cs="Times New Roman"/>
                <w:color w:val="000000"/>
                <w:lang w:val="en-US"/>
              </w:rPr>
              <w:t xml:space="preserve">______________________/_______________/</w:t>
            </w:r>
            <w:r>
              <w:rPr>
                <w:rFonts w:ascii="Times New Roman" w:hAnsi="Times New Roman" w:eastAsia="Arial Unicode MS" w:cs="Times New Roman"/>
                <w:color w:val="000000"/>
                <w:lang w:val="en-US"/>
              </w:rPr>
            </w:r>
          </w:p>
          <w:p>
            <w:pPr>
              <w:ind w:left="1134" w:right="317" w:hanging="1134"/>
              <w:spacing w:after="0" w:line="240" w:lineRule="auto"/>
              <w:widowControl w:val="off"/>
              <w:tabs>
                <w:tab w:val="left" w:pos="1134" w:leader="none"/>
              </w:tabs>
              <w:rPr>
                <w:rFonts w:ascii="Times New Roman" w:hAnsi="Times New Roman" w:eastAsia="Arial Unicode MS" w:cs="Times New Roman"/>
                <w:color w:val="000000"/>
                <w:lang w:val="en-US"/>
              </w:rPr>
              <w:pBdr>
                <w:top w:val="none" w:color="000000" w:sz="4" w:space="0"/>
                <w:left w:val="none" w:color="000000" w:sz="4" w:space="0"/>
                <w:bottom w:val="none" w:color="000000" w:sz="4" w:space="0"/>
                <w:right w:val="none" w:color="000000" w:sz="4" w:space="0"/>
                <w:between w:val="none" w:color="000000" w:sz="4" w:space="0"/>
              </w:pBdr>
              <w:outlineLvl w:val="0"/>
              <w:suppressLineNumbers/>
            </w:pPr>
            <w:r>
              <w:rPr>
                <w:rFonts w:ascii="Times New Roman" w:hAnsi="Times New Roman" w:eastAsia="Arial Unicode MS" w:cs="Times New Roman"/>
                <w:color w:val="000000"/>
                <w:lang w:val="en-US"/>
              </w:rPr>
              <w:t xml:space="preserve">«___» __________ 20__ г.</w:t>
            </w:r>
            <w:r>
              <w:rPr>
                <w:rFonts w:ascii="Times New Roman" w:hAnsi="Times New Roman" w:eastAsia="Arial Unicode MS" w:cs="Times New Roman"/>
                <w:color w:val="000000"/>
                <w:lang w:val="en-US"/>
              </w:rPr>
            </w:r>
          </w:p>
          <w:p>
            <w:pPr>
              <w:ind w:left="1134" w:right="317" w:hanging="1134"/>
              <w:spacing w:after="0" w:line="240" w:lineRule="auto"/>
              <w:widowControl w:val="off"/>
              <w:tabs>
                <w:tab w:val="left" w:pos="2040" w:leader="none"/>
              </w:tabs>
              <w:rPr>
                <w:rFonts w:ascii="Times New Roman" w:hAnsi="Times New Roman" w:eastAsia="Arial Unicode MS" w:cs="Times New Roman"/>
                <w:color w:val="000000"/>
              </w:rPr>
              <w:pBdr>
                <w:top w:val="none" w:color="000000" w:sz="4" w:space="0"/>
                <w:left w:val="none" w:color="000000" w:sz="4" w:space="0"/>
                <w:bottom w:val="none" w:color="000000" w:sz="4" w:space="0"/>
                <w:right w:val="none" w:color="000000" w:sz="4" w:space="0"/>
                <w:between w:val="none" w:color="000000" w:sz="4" w:space="0"/>
              </w:pBdr>
              <w:outlineLvl w:val="0"/>
              <w:suppressLineNumbers/>
            </w:pPr>
            <w:r>
              <w:rPr>
                <w:rFonts w:ascii="Times New Roman" w:hAnsi="Times New Roman" w:eastAsia="Arial Unicode MS" w:cs="Times New Roman"/>
                <w:color w:val="000000"/>
                <w:lang w:val="en-US"/>
              </w:rPr>
              <w:t xml:space="preserve">М.П.</w:t>
            </w:r>
            <w:r>
              <w:rPr>
                <w:rFonts w:ascii="Times New Roman" w:hAnsi="Times New Roman" w:eastAsia="Arial Unicode MS" w:cs="Times New Roman"/>
                <w:color w:val="000000"/>
              </w:rPr>
            </w:r>
          </w:p>
        </w:tc>
        <w:tc>
          <w:tcPr>
            <w:tcW w:w="5529" w:type="dxa"/>
            <w:textDirection w:val="lrTb"/>
            <w:noWrap w:val="false"/>
          </w:tcPr>
          <w:p>
            <w:pPr>
              <w:ind w:left="1134" w:right="317" w:hanging="1134"/>
              <w:spacing w:after="0" w:line="240" w:lineRule="auto"/>
              <w:widowControl w:val="off"/>
              <w:tabs>
                <w:tab w:val="left" w:pos="1134" w:leader="none"/>
              </w:tabs>
              <w:rPr>
                <w:rFonts w:ascii="Times New Roman" w:hAnsi="Times New Roman" w:eastAsia="Arial Unicode MS" w:cs="Times New Roman"/>
                <w:color w:val="000000"/>
              </w:rPr>
              <w:pBdr>
                <w:top w:val="none" w:color="000000" w:sz="4" w:space="0"/>
                <w:left w:val="none" w:color="000000" w:sz="4" w:space="0"/>
                <w:bottom w:val="none" w:color="000000" w:sz="4" w:space="0"/>
                <w:right w:val="none" w:color="000000" w:sz="4" w:space="0"/>
                <w:between w:val="none" w:color="000000" w:sz="4" w:space="0"/>
              </w:pBdr>
              <w:outlineLvl w:val="0"/>
              <w:suppressLineNumbers/>
            </w:pPr>
            <w:r>
              <w:rPr>
                <w:rFonts w:ascii="Times New Roman" w:hAnsi="Times New Roman" w:eastAsia="Arial Unicode MS" w:cs="Times New Roman"/>
                <w:color w:val="000000"/>
              </w:rPr>
              <w:t xml:space="preserve">ПОСТАВЩИК</w:t>
            </w:r>
            <w:r>
              <w:rPr>
                <w:rFonts w:ascii="Times New Roman" w:hAnsi="Times New Roman" w:eastAsia="Arial Unicode MS" w:cs="Times New Roman"/>
                <w:color w:val="000000"/>
              </w:rPr>
            </w:r>
          </w:p>
          <w:p>
            <w:pPr>
              <w:spacing w:after="0" w:line="240" w:lineRule="auto"/>
              <w:widowControl w:val="off"/>
              <w:rPr>
                <w:rFonts w:ascii="Times New Roman" w:hAnsi="Times New Roman" w:cs="Times New Roman"/>
              </w:rPr>
            </w:pPr>
            <w:r>
              <w:rPr>
                <w:rFonts w:ascii="Times New Roman" w:hAnsi="Times New Roman" w:cs="Times New Roman"/>
              </w:rPr>
              <w:t xml:space="preserve">_______________________</w:t>
            </w:r>
            <w:r>
              <w:rPr>
                <w:rFonts w:ascii="Times New Roman" w:hAnsi="Times New Roman" w:cs="Times New Roman"/>
              </w:rPr>
            </w:r>
          </w:p>
          <w:p>
            <w:pPr>
              <w:ind w:left="1134" w:right="317" w:hanging="1134"/>
              <w:spacing w:after="0" w:line="240" w:lineRule="auto"/>
              <w:widowControl w:val="off"/>
              <w:tabs>
                <w:tab w:val="left" w:pos="1134" w:leader="none"/>
              </w:tabs>
              <w:rPr>
                <w:rFonts w:ascii="Times New Roman" w:hAnsi="Times New Roman" w:eastAsia="Arial Unicode MS" w:cs="Times New Roman"/>
                <w:color w:val="000000"/>
                <w:lang w:val="en-US"/>
              </w:rPr>
              <w:pBdr>
                <w:top w:val="none" w:color="000000" w:sz="4" w:space="0"/>
                <w:left w:val="none" w:color="000000" w:sz="4" w:space="0"/>
                <w:bottom w:val="none" w:color="000000" w:sz="4" w:space="0"/>
                <w:right w:val="none" w:color="000000" w:sz="4" w:space="0"/>
                <w:between w:val="none" w:color="000000" w:sz="4" w:space="0"/>
              </w:pBdr>
              <w:outlineLvl w:val="0"/>
              <w:suppressLineNumbers/>
            </w:pPr>
            <w:r>
              <w:rPr>
                <w:rFonts w:ascii="Times New Roman" w:hAnsi="Times New Roman" w:eastAsia="Arial Unicode MS" w:cs="Times New Roman"/>
                <w:color w:val="000000"/>
                <w:lang w:val="en-US"/>
              </w:rPr>
              <w:t xml:space="preserve">______________/___________________/</w:t>
            </w:r>
            <w:r>
              <w:rPr>
                <w:rFonts w:ascii="Times New Roman" w:hAnsi="Times New Roman" w:eastAsia="Arial Unicode MS" w:cs="Times New Roman"/>
                <w:color w:val="000000"/>
                <w:lang w:val="en-US"/>
              </w:rPr>
            </w:r>
          </w:p>
          <w:p>
            <w:pPr>
              <w:ind w:left="1134" w:right="317" w:hanging="1134"/>
              <w:spacing w:after="0" w:line="240" w:lineRule="auto"/>
              <w:widowControl w:val="off"/>
              <w:tabs>
                <w:tab w:val="left" w:pos="1134" w:leader="none"/>
              </w:tabs>
              <w:rPr>
                <w:rFonts w:ascii="Times New Roman" w:hAnsi="Times New Roman" w:eastAsia="Arial Unicode MS" w:cs="Times New Roman"/>
                <w:color w:val="000000"/>
                <w:lang w:val="en-US"/>
              </w:rPr>
              <w:pBdr>
                <w:top w:val="none" w:color="000000" w:sz="4" w:space="0"/>
                <w:left w:val="none" w:color="000000" w:sz="4" w:space="0"/>
                <w:bottom w:val="none" w:color="000000" w:sz="4" w:space="0"/>
                <w:right w:val="none" w:color="000000" w:sz="4" w:space="0"/>
                <w:between w:val="none" w:color="000000" w:sz="4" w:space="0"/>
              </w:pBdr>
              <w:outlineLvl w:val="0"/>
              <w:suppressLineNumbers/>
            </w:pPr>
            <w:r>
              <w:rPr>
                <w:rFonts w:ascii="Times New Roman" w:hAnsi="Times New Roman" w:eastAsia="Arial Unicode MS" w:cs="Times New Roman"/>
                <w:color w:val="000000"/>
                <w:lang w:val="en-US"/>
              </w:rPr>
              <w:t xml:space="preserve">«___» __________ 20__ г.</w:t>
            </w:r>
            <w:r>
              <w:rPr>
                <w:rFonts w:ascii="Times New Roman" w:hAnsi="Times New Roman" w:eastAsia="Arial Unicode MS" w:cs="Times New Roman"/>
                <w:color w:val="000000"/>
                <w:lang w:val="en-US"/>
              </w:rPr>
            </w:r>
          </w:p>
          <w:p>
            <w:pPr>
              <w:ind w:left="1134" w:right="317" w:hanging="1134"/>
              <w:spacing w:after="0" w:line="240" w:lineRule="auto"/>
              <w:widowControl w:val="off"/>
              <w:tabs>
                <w:tab w:val="left" w:pos="1134" w:leader="none"/>
              </w:tabs>
              <w:rPr>
                <w:rFonts w:ascii="Times New Roman" w:hAnsi="Times New Roman" w:eastAsia="Arial Unicode MS" w:cs="Times New Roman"/>
                <w:color w:val="000000"/>
                <w:lang w:val="en-US"/>
              </w:rPr>
              <w:pBdr>
                <w:top w:val="none" w:color="000000" w:sz="4" w:space="0"/>
                <w:left w:val="none" w:color="000000" w:sz="4" w:space="0"/>
                <w:bottom w:val="none" w:color="000000" w:sz="4" w:space="0"/>
                <w:right w:val="none" w:color="000000" w:sz="4" w:space="0"/>
                <w:between w:val="none" w:color="000000" w:sz="4" w:space="0"/>
              </w:pBdr>
              <w:outlineLvl w:val="0"/>
              <w:suppressLineNumbers/>
            </w:pPr>
            <w:r>
              <w:rPr>
                <w:rFonts w:ascii="Times New Roman" w:hAnsi="Times New Roman" w:eastAsia="Arial Unicode MS" w:cs="Times New Roman"/>
                <w:color w:val="000000"/>
                <w:lang w:val="en-US"/>
              </w:rPr>
              <w:t xml:space="preserve">М.П.</w:t>
            </w:r>
            <w:r>
              <w:rPr>
                <w:rFonts w:ascii="Times New Roman" w:hAnsi="Times New Roman" w:eastAsia="Arial Unicode MS" w:cs="Times New Roman"/>
                <w:color w:val="000000"/>
                <w:lang w:val="en-US"/>
              </w:rPr>
            </w:r>
          </w:p>
        </w:tc>
      </w:tr>
    </w:tbl>
    <w:p>
      <w:pPr>
        <w:tabs>
          <w:tab w:val="left" w:pos="7995" w:leader="none"/>
        </w:tabs>
        <w:rPr>
          <w:rFonts w:ascii="Times New Roman" w:hAnsi="Times New Roman" w:cs="Times New Roman"/>
        </w:rPr>
      </w:pPr>
      <w:r>
        <w:rPr>
          <w:rFonts w:ascii="Times New Roman" w:hAnsi="Times New Roman" w:cs="Times New Roman"/>
        </w:rPr>
      </w:r>
      <w:r>
        <w:rPr>
          <w:rFonts w:ascii="Times New Roman" w:hAnsi="Times New Roman" w:cs="Times New Roman"/>
        </w:rPr>
      </w:r>
    </w:p>
    <w:p>
      <w:pPr>
        <w:tabs>
          <w:tab w:val="left" w:pos="7995" w:leader="none"/>
        </w:tabs>
        <w:rPr>
          <w:rFonts w:ascii="Times New Roman" w:hAnsi="Times New Roman" w:cs="Times New Roman"/>
        </w:rPr>
      </w:pPr>
      <w:r>
        <w:rPr>
          <w:rFonts w:ascii="Times New Roman" w:hAnsi="Times New Roman" w:cs="Times New Roman"/>
        </w:rPr>
      </w:r>
      <w:r>
        <w:rPr>
          <w:rFonts w:ascii="Times New Roman" w:hAnsi="Times New Roman" w:cs="Times New Roman"/>
        </w:rPr>
      </w:r>
    </w:p>
    <w:p>
      <w:pPr>
        <w:tabs>
          <w:tab w:val="left" w:pos="7995" w:leader="none"/>
        </w:tabs>
        <w:rPr>
          <w:rFonts w:ascii="Times New Roman" w:hAnsi="Times New Roman" w:cs="Times New Roman"/>
        </w:rPr>
      </w:pPr>
      <w:r>
        <w:rPr>
          <w:rFonts w:ascii="Times New Roman" w:hAnsi="Times New Roman" w:cs="Times New Roman"/>
        </w:rPr>
      </w:r>
      <w:r>
        <w:rPr>
          <w:rFonts w:ascii="Times New Roman" w:hAnsi="Times New Roman" w:cs="Times New Roman"/>
        </w:rPr>
      </w:r>
    </w:p>
    <w:p>
      <w:pPr>
        <w:tabs>
          <w:tab w:val="left" w:pos="7995" w:leader="none"/>
        </w:tabs>
        <w:rPr>
          <w:rFonts w:ascii="Times New Roman" w:hAnsi="Times New Roman" w:cs="Times New Roman"/>
        </w:rPr>
      </w:pPr>
      <w:r>
        <w:rPr>
          <w:rFonts w:ascii="Times New Roman" w:hAnsi="Times New Roman" w:cs="Times New Roman"/>
        </w:rPr>
      </w:r>
      <w:r>
        <w:rPr>
          <w:rFonts w:ascii="Times New Roman" w:hAnsi="Times New Roman" w:cs="Times New Roman"/>
        </w:rPr>
      </w:r>
    </w:p>
    <w:p>
      <w:pPr>
        <w:tabs>
          <w:tab w:val="left" w:pos="7995" w:leader="none"/>
        </w:tabs>
        <w:rPr>
          <w:rFonts w:ascii="Times New Roman" w:hAnsi="Times New Roman" w:cs="Times New Roman"/>
        </w:rPr>
      </w:pPr>
      <w:r>
        <w:rPr>
          <w:rFonts w:ascii="Times New Roman" w:hAnsi="Times New Roman" w:cs="Times New Roman"/>
        </w:rPr>
      </w:r>
      <w:r>
        <w:rPr>
          <w:rFonts w:ascii="Times New Roman" w:hAnsi="Times New Roman" w:cs="Times New Roman"/>
        </w:rPr>
      </w:r>
    </w:p>
    <w:p>
      <w:pPr>
        <w:spacing w:after="160" w:line="259" w:lineRule="auto"/>
        <w:rPr>
          <w:rFonts w:ascii="Times New Roman" w:hAnsi="Times New Roman" w:cs="Times New Roman"/>
        </w:rPr>
      </w:pPr>
      <w:r>
        <w:rPr>
          <w:rFonts w:ascii="Times New Roman" w:hAnsi="Times New Roman" w:cs="Times New Roman"/>
        </w:rPr>
        <w:br w:type="page" w:clear="all"/>
      </w:r>
      <w:r>
        <w:rPr>
          <w:rFonts w:ascii="Times New Roman" w:hAnsi="Times New Roman" w:cs="Times New Roman"/>
        </w:rPr>
      </w:r>
    </w:p>
    <w:p>
      <w:pPr>
        <w:ind w:left="10620" w:firstLine="11"/>
        <w:pageBreakBefore/>
        <w:spacing w:after="0" w:line="240" w:lineRule="auto"/>
        <w:widowControl w:val="off"/>
        <w:rPr>
          <w:rFonts w:ascii="Times New Roman" w:hAnsi="Times New Roman" w:cs="Times New Roman"/>
        </w:rPr>
      </w:pPr>
      <w:r>
        <w:rPr>
          <w:rFonts w:ascii="Times New Roman" w:hAnsi="Times New Roman" w:cs="Times New Roman"/>
        </w:rPr>
        <w:t xml:space="preserve">Приложение 6.1 </w:t>
      </w:r>
      <w:r>
        <w:rPr>
          <w:rFonts w:ascii="Times New Roman" w:hAnsi="Times New Roman" w:cs="Times New Roman"/>
        </w:rPr>
      </w:r>
    </w:p>
    <w:p>
      <w:pPr>
        <w:ind w:left="10620" w:firstLine="12"/>
        <w:spacing w:after="0" w:line="240" w:lineRule="auto"/>
        <w:widowControl w:val="off"/>
        <w:rPr>
          <w:rFonts w:ascii="Times New Roman" w:hAnsi="Times New Roman" w:cs="Times New Roman"/>
        </w:rPr>
      </w:pPr>
      <w:r>
        <w:rPr>
          <w:rFonts w:ascii="Times New Roman" w:hAnsi="Times New Roman" w:cs="Times New Roman"/>
        </w:rPr>
        <w:t xml:space="preserve">к Договору поставки</w:t>
      </w:r>
      <w:r>
        <w:rPr>
          <w:rFonts w:ascii="Times New Roman" w:hAnsi="Times New Roman" w:cs="Times New Roman"/>
        </w:rPr>
      </w:r>
    </w:p>
    <w:p>
      <w:pPr>
        <w:ind w:left="10620" w:firstLine="12"/>
        <w:spacing w:after="0" w:line="240" w:lineRule="auto"/>
        <w:widowControl w:val="off"/>
        <w:tabs>
          <w:tab w:val="right" w:pos="15138" w:leader="none"/>
        </w:tabs>
        <w:rPr>
          <w:rFonts w:ascii="Times New Roman" w:hAnsi="Times New Roman" w:cs="Times New Roman"/>
        </w:rPr>
      </w:pPr>
      <w:r>
        <w:rPr>
          <w:rFonts w:ascii="Times New Roman" w:hAnsi="Times New Roman" w:cs="Times New Roman"/>
        </w:rPr>
        <w:t xml:space="preserve">от «___» ________ _ г. № ____</w:t>
      </w:r>
      <w:r>
        <w:rPr>
          <w:rFonts w:ascii="Times New Roman" w:hAnsi="Times New Roman" w:cs="Times New Roman"/>
        </w:rPr>
        <w:tab/>
      </w:r>
      <w:r>
        <w:rPr>
          <w:rFonts w:ascii="Times New Roman" w:hAnsi="Times New Roman" w:cs="Times New Roman"/>
        </w:rPr>
      </w:r>
    </w:p>
    <w:p>
      <w:pPr>
        <w:widowControl w:val="off"/>
        <w:rPr>
          <w:rFonts w:ascii="Times New Roman" w:hAnsi="Times New Roman" w:cs="Times New Roman"/>
        </w:rPr>
      </w:pPr>
      <w:r>
        <w:rPr>
          <w:rFonts w:ascii="Times New Roman" w:hAnsi="Times New Roman" w:cs="Times New Roman"/>
        </w:rPr>
      </w:r>
      <w:r>
        <w:rPr>
          <w:rFonts w:ascii="Times New Roman" w:hAnsi="Times New Roman" w:cs="Times New Roman"/>
        </w:rPr>
      </w:r>
    </w:p>
    <w:p>
      <w:pPr>
        <w:jc w:val="center"/>
        <w:spacing w:after="0" w:line="240" w:lineRule="auto"/>
        <w:rPr>
          <w:rFonts w:ascii="Times New Roman" w:hAnsi="Times New Roman" w:cs="Times New Roman"/>
          <w:b/>
          <w:bCs/>
        </w:rPr>
      </w:pPr>
      <w:r>
        <w:rPr>
          <w:rFonts w:ascii="Times New Roman" w:hAnsi="Times New Roman" w:cs="Times New Roman"/>
          <w:b/>
          <w:bCs/>
        </w:rPr>
        <w:t xml:space="preserve">Форма</w:t>
      </w:r>
      <w:r>
        <w:rPr>
          <w:rFonts w:ascii="Times New Roman" w:hAnsi="Times New Roman" w:cs="Times New Roman"/>
          <w:b/>
          <w:bCs/>
        </w:rPr>
      </w:r>
    </w:p>
    <w:p>
      <w:pPr>
        <w:jc w:val="center"/>
        <w:spacing w:after="0" w:line="240" w:lineRule="auto"/>
        <w:rPr>
          <w:rFonts w:ascii="Times New Roman" w:hAnsi="Times New Roman" w:cs="Times New Roman"/>
          <w:b/>
          <w:bCs/>
          <w:i/>
        </w:rPr>
      </w:pPr>
      <w:r>
        <w:rPr>
          <w:rFonts w:ascii="Times New Roman" w:hAnsi="Times New Roman" w:cs="Times New Roman"/>
          <w:b/>
          <w:bCs/>
          <w:i/>
        </w:rPr>
        <w:t xml:space="preserve">независимой гарантии на исполнение обязательств</w:t>
      </w:r>
      <w:r>
        <w:rPr>
          <w:rFonts w:ascii="Times New Roman" w:hAnsi="Times New Roman" w:cs="Times New Roman"/>
          <w:b/>
          <w:bCs/>
          <w:i/>
        </w:rPr>
      </w:r>
    </w:p>
    <w:p>
      <w:pPr>
        <w:ind w:right="-8"/>
        <w:spacing w:after="120" w:line="240" w:lineRule="auto"/>
        <w:widowControl w:val="off"/>
        <w:rPr>
          <w:rFonts w:ascii="Times New Roman" w:hAnsi="Times New Roman" w:cs="Times New Roman"/>
          <w:bCs/>
        </w:rPr>
      </w:pPr>
      <w:r>
        <w:rPr>
          <w:rFonts w:ascii="Times New Roman" w:hAnsi="Times New Roman" w:cs="Times New Roman"/>
          <w:bCs/>
        </w:rPr>
      </w:r>
      <w:r>
        <w:rPr>
          <w:rFonts w:ascii="Times New Roman" w:hAnsi="Times New Roman" w:cs="Times New Roman"/>
          <w:bCs/>
        </w:rPr>
      </w:r>
    </w:p>
    <w:p>
      <w:pPr>
        <w:ind w:firstLine="708"/>
        <w:jc w:val="both"/>
        <w:spacing w:after="120" w:line="240" w:lineRule="auto"/>
        <w:widowControl w:val="off"/>
        <w:rPr>
          <w:rFonts w:ascii="Times New Roman" w:hAnsi="Times New Roman" w:cs="Times New Roman"/>
          <w:i/>
        </w:rPr>
      </w:pPr>
      <w:r>
        <w:rPr>
          <w:rFonts w:ascii="Times New Roman" w:hAnsi="Times New Roman" w:cs="Times New Roman"/>
          <w:i/>
        </w:rPr>
        <w:t xml:space="preserve">Включается форма независимой гарантии в соответствии с СО 6.3191/0.</w:t>
      </w:r>
      <w:r>
        <w:rPr>
          <w:rFonts w:ascii="Times New Roman" w:hAnsi="Times New Roman" w:cs="Times New Roman"/>
          <w:i/>
        </w:rPr>
      </w:r>
    </w:p>
    <w:p>
      <w:pPr>
        <w:spacing w:after="120" w:line="240" w:lineRule="auto"/>
        <w:widowControl w:val="off"/>
        <w:rPr>
          <w:rFonts w:ascii="Times New Roman" w:hAnsi="Times New Roman" w:cs="Times New Roman"/>
        </w:rPr>
      </w:pPr>
      <w:r>
        <w:rPr>
          <w:rFonts w:ascii="Times New Roman" w:hAnsi="Times New Roman" w:cs="Times New Roman"/>
        </w:rPr>
      </w:r>
      <w:r>
        <w:rPr>
          <w:rFonts w:ascii="Times New Roman" w:hAnsi="Times New Roman" w:cs="Times New Roman"/>
        </w:rPr>
      </w:r>
    </w:p>
    <w:p>
      <w:pPr>
        <w:widowControl w:val="off"/>
        <w:rPr>
          <w:rFonts w:ascii="Times New Roman" w:hAnsi="Times New Roman" w:cs="Times New Roman"/>
        </w:rPr>
      </w:pPr>
      <w:r>
        <w:rPr>
          <w:rFonts w:ascii="Times New Roman" w:hAnsi="Times New Roman" w:cs="Times New Roman"/>
        </w:rPr>
      </w:r>
      <w:r>
        <w:rPr>
          <w:rFonts w:ascii="Times New Roman" w:hAnsi="Times New Roman" w:cs="Times New Roman"/>
        </w:rPr>
      </w:r>
    </w:p>
    <w:p>
      <w:pPr>
        <w:widowControl w:val="off"/>
        <w:rPr>
          <w:rFonts w:ascii="Times New Roman" w:hAnsi="Times New Roman" w:cs="Times New Roman"/>
        </w:rPr>
      </w:pPr>
      <w:r>
        <w:rPr>
          <w:rFonts w:ascii="Times New Roman" w:hAnsi="Times New Roman" w:cs="Times New Roman"/>
        </w:rPr>
      </w:r>
      <w:r>
        <w:rPr>
          <w:rFonts w:ascii="Times New Roman" w:hAnsi="Times New Roman" w:cs="Times New Roman"/>
        </w:rPr>
      </w:r>
    </w:p>
    <w:tbl>
      <w:tblPr>
        <w:tblW w:w="0" w:type="dxa"/>
        <w:tblInd w:w="108" w:type="dxa"/>
        <w:tblLayout w:type="fixed"/>
        <w:tblLook w:val="01E0" w:firstRow="1" w:lastRow="1" w:firstColumn="1" w:lastColumn="1" w:noHBand="0" w:noVBand="0"/>
      </w:tblPr>
      <w:tblGrid>
        <w:gridCol w:w="9639"/>
        <w:gridCol w:w="5529"/>
      </w:tblGrid>
      <w:tr>
        <w:tblPrEx/>
        <w:trPr/>
        <w:tc>
          <w:tcPr>
            <w:tcW w:w="9639" w:type="dxa"/>
            <w:textDirection w:val="lrTb"/>
            <w:noWrap w:val="false"/>
          </w:tcPr>
          <w:p>
            <w:pPr>
              <w:pStyle w:val="1147"/>
              <w:ind w:left="1134" w:right="317" w:hanging="1134"/>
              <w:widowControl w:val="off"/>
              <w:tabs>
                <w:tab w:val="left" w:pos="1134" w:leader="none"/>
              </w:tabs>
              <w:rPr>
                <w:rFonts w:ascii="Times New Roman" w:hAnsi="Times New Roman" w:cs="Times New Roman"/>
                <w:sz w:val="22"/>
                <w:szCs w:val="22"/>
                <w:lang w:val="ru-RU" w:eastAsia="en-US"/>
              </w:rPr>
              <w:suppressLineNumbers/>
            </w:pPr>
            <w:r>
              <w:rPr>
                <w:rFonts w:ascii="Times New Roman" w:hAnsi="Times New Roman" w:cs="Times New Roman"/>
                <w:sz w:val="22"/>
                <w:szCs w:val="22"/>
                <w:lang w:val="ru-RU" w:eastAsia="en-US"/>
              </w:rPr>
              <w:t xml:space="preserve">ПОКУПАТЕЛЬ</w:t>
            </w:r>
            <w:r>
              <w:rPr>
                <w:rFonts w:ascii="Times New Roman" w:hAnsi="Times New Roman" w:cs="Times New Roman"/>
                <w:sz w:val="22"/>
                <w:szCs w:val="22"/>
                <w:lang w:val="ru-RU" w:eastAsia="en-US"/>
              </w:rPr>
            </w:r>
          </w:p>
          <w:p>
            <w:pPr>
              <w:widowControl w:val="off"/>
              <w:rPr>
                <w:rFonts w:ascii="Times New Roman" w:hAnsi="Times New Roman" w:cs="Times New Roman"/>
              </w:rPr>
            </w:pPr>
            <w:r>
              <w:rPr>
                <w:rFonts w:ascii="Times New Roman" w:hAnsi="Times New Roman" w:cs="Times New Roman"/>
              </w:rPr>
              <w:t xml:space="preserve">_______________________</w:t>
            </w:r>
            <w:r>
              <w:rPr>
                <w:rFonts w:ascii="Times New Roman" w:hAnsi="Times New Roman" w:cs="Times New Roman"/>
              </w:rPr>
            </w:r>
          </w:p>
          <w:p>
            <w:pPr>
              <w:pStyle w:val="1147"/>
              <w:ind w:left="1134" w:right="317" w:hanging="1134"/>
              <w:widowControl w:val="off"/>
              <w:tabs>
                <w:tab w:val="left" w:pos="1134" w:leader="none"/>
              </w:tabs>
              <w:rPr>
                <w:rFonts w:ascii="Times New Roman" w:hAnsi="Times New Roman" w:cs="Times New Roman"/>
                <w:sz w:val="22"/>
                <w:szCs w:val="22"/>
                <w:lang w:eastAsia="en-US"/>
              </w:rPr>
              <w:suppressLineNumbers/>
            </w:pPr>
            <w:r>
              <w:rPr>
                <w:rFonts w:ascii="Times New Roman" w:hAnsi="Times New Roman" w:cs="Times New Roman"/>
                <w:sz w:val="22"/>
                <w:szCs w:val="22"/>
                <w:lang w:eastAsia="en-US"/>
              </w:rPr>
              <w:t xml:space="preserve">______________________/_______________/</w:t>
            </w:r>
            <w:r>
              <w:rPr>
                <w:rFonts w:ascii="Times New Roman" w:hAnsi="Times New Roman" w:cs="Times New Roman"/>
                <w:sz w:val="22"/>
                <w:szCs w:val="22"/>
                <w:lang w:eastAsia="en-US"/>
              </w:rPr>
            </w:r>
          </w:p>
          <w:p>
            <w:pPr>
              <w:pStyle w:val="1147"/>
              <w:ind w:left="1134" w:right="317" w:hanging="1134"/>
              <w:widowControl w:val="off"/>
              <w:tabs>
                <w:tab w:val="left" w:pos="1134" w:leader="none"/>
              </w:tabs>
              <w:rPr>
                <w:rFonts w:ascii="Times New Roman" w:hAnsi="Times New Roman" w:cs="Times New Roman"/>
                <w:sz w:val="22"/>
                <w:szCs w:val="22"/>
                <w:lang w:eastAsia="en-US"/>
              </w:rPr>
              <w:suppressLineNumbers/>
            </w:pPr>
            <w:r>
              <w:rPr>
                <w:rFonts w:ascii="Times New Roman" w:hAnsi="Times New Roman" w:cs="Times New Roman"/>
                <w:sz w:val="22"/>
                <w:szCs w:val="22"/>
                <w:lang w:eastAsia="en-US"/>
              </w:rPr>
              <w:t xml:space="preserve">«___» __________ 20__ г.</w:t>
            </w:r>
            <w:r>
              <w:rPr>
                <w:rFonts w:ascii="Times New Roman" w:hAnsi="Times New Roman" w:cs="Times New Roman"/>
                <w:sz w:val="22"/>
                <w:szCs w:val="22"/>
                <w:lang w:eastAsia="en-US"/>
              </w:rPr>
            </w:r>
          </w:p>
          <w:p>
            <w:pPr>
              <w:pStyle w:val="1147"/>
              <w:ind w:left="1134" w:right="317" w:hanging="1134"/>
              <w:widowControl w:val="off"/>
              <w:tabs>
                <w:tab w:val="left" w:pos="2040" w:leader="none"/>
              </w:tabs>
              <w:rPr>
                <w:rFonts w:ascii="Times New Roman" w:hAnsi="Times New Roman" w:cs="Times New Roman"/>
                <w:sz w:val="22"/>
                <w:szCs w:val="22"/>
                <w:lang w:val="ru-RU" w:eastAsia="en-US"/>
              </w:rPr>
              <w:suppressLineNumbers/>
            </w:pPr>
            <w:r>
              <w:rPr>
                <w:rFonts w:ascii="Times New Roman" w:hAnsi="Times New Roman" w:cs="Times New Roman"/>
                <w:sz w:val="22"/>
                <w:szCs w:val="22"/>
                <w:lang w:eastAsia="en-US"/>
              </w:rPr>
              <w:t xml:space="preserve">М.П.</w:t>
            </w:r>
            <w:r>
              <w:rPr>
                <w:rFonts w:ascii="Times New Roman" w:hAnsi="Times New Roman" w:cs="Times New Roman"/>
                <w:sz w:val="22"/>
                <w:szCs w:val="22"/>
                <w:lang w:val="ru-RU" w:eastAsia="en-US"/>
              </w:rPr>
            </w:r>
          </w:p>
        </w:tc>
        <w:tc>
          <w:tcPr>
            <w:tcW w:w="5529" w:type="dxa"/>
            <w:textDirection w:val="lrTb"/>
            <w:noWrap w:val="false"/>
          </w:tcPr>
          <w:p>
            <w:pPr>
              <w:pStyle w:val="1147"/>
              <w:ind w:left="1134" w:right="317" w:hanging="1134"/>
              <w:widowControl w:val="off"/>
              <w:tabs>
                <w:tab w:val="left" w:pos="1134" w:leader="none"/>
              </w:tabs>
              <w:rPr>
                <w:rFonts w:ascii="Times New Roman" w:hAnsi="Times New Roman" w:cs="Times New Roman"/>
                <w:sz w:val="22"/>
                <w:szCs w:val="22"/>
                <w:lang w:val="ru-RU" w:eastAsia="en-US"/>
              </w:rPr>
              <w:suppressLineNumbers/>
            </w:pPr>
            <w:r>
              <w:rPr>
                <w:rFonts w:ascii="Times New Roman" w:hAnsi="Times New Roman" w:cs="Times New Roman"/>
                <w:sz w:val="22"/>
                <w:szCs w:val="22"/>
                <w:lang w:val="ru-RU" w:eastAsia="en-US"/>
              </w:rPr>
              <w:t xml:space="preserve">ПОСТАВЩИК</w:t>
            </w:r>
            <w:r>
              <w:rPr>
                <w:rFonts w:ascii="Times New Roman" w:hAnsi="Times New Roman" w:cs="Times New Roman"/>
                <w:sz w:val="22"/>
                <w:szCs w:val="22"/>
                <w:lang w:val="ru-RU" w:eastAsia="en-US"/>
              </w:rPr>
            </w:r>
          </w:p>
          <w:p>
            <w:pPr>
              <w:widowControl w:val="off"/>
              <w:rPr>
                <w:rFonts w:ascii="Times New Roman" w:hAnsi="Times New Roman" w:cs="Times New Roman"/>
              </w:rPr>
            </w:pPr>
            <w:r>
              <w:rPr>
                <w:rFonts w:ascii="Times New Roman" w:hAnsi="Times New Roman" w:cs="Times New Roman"/>
              </w:rPr>
              <w:t xml:space="preserve">_______________________</w:t>
            </w:r>
            <w:r>
              <w:rPr>
                <w:rFonts w:ascii="Times New Roman" w:hAnsi="Times New Roman" w:cs="Times New Roman"/>
              </w:rPr>
            </w:r>
          </w:p>
          <w:p>
            <w:pPr>
              <w:pStyle w:val="1147"/>
              <w:ind w:left="1134" w:right="317" w:hanging="1134"/>
              <w:widowControl w:val="off"/>
              <w:tabs>
                <w:tab w:val="left" w:pos="1134" w:leader="none"/>
              </w:tabs>
              <w:rPr>
                <w:rFonts w:ascii="Times New Roman" w:hAnsi="Times New Roman" w:cs="Times New Roman"/>
                <w:sz w:val="22"/>
                <w:szCs w:val="22"/>
                <w:lang w:eastAsia="en-US"/>
              </w:rPr>
              <w:suppressLineNumbers/>
            </w:pPr>
            <w:r>
              <w:rPr>
                <w:rFonts w:ascii="Times New Roman" w:hAnsi="Times New Roman" w:cs="Times New Roman"/>
                <w:sz w:val="22"/>
                <w:szCs w:val="22"/>
                <w:lang w:eastAsia="en-US"/>
              </w:rPr>
              <w:t xml:space="preserve">______________/___________________/</w:t>
            </w:r>
            <w:r>
              <w:rPr>
                <w:rFonts w:ascii="Times New Roman" w:hAnsi="Times New Roman" w:cs="Times New Roman"/>
                <w:sz w:val="22"/>
                <w:szCs w:val="22"/>
                <w:lang w:eastAsia="en-US"/>
              </w:rPr>
            </w:r>
          </w:p>
          <w:p>
            <w:pPr>
              <w:pStyle w:val="1147"/>
              <w:ind w:left="1134" w:right="317" w:hanging="1134"/>
              <w:widowControl w:val="off"/>
              <w:tabs>
                <w:tab w:val="left" w:pos="1134" w:leader="none"/>
              </w:tabs>
              <w:rPr>
                <w:rFonts w:ascii="Times New Roman" w:hAnsi="Times New Roman" w:cs="Times New Roman"/>
                <w:sz w:val="22"/>
                <w:szCs w:val="22"/>
                <w:lang w:eastAsia="en-US"/>
              </w:rPr>
              <w:suppressLineNumbers/>
            </w:pPr>
            <w:r>
              <w:rPr>
                <w:rFonts w:ascii="Times New Roman" w:hAnsi="Times New Roman" w:cs="Times New Roman"/>
                <w:sz w:val="22"/>
                <w:szCs w:val="22"/>
                <w:lang w:eastAsia="en-US"/>
              </w:rPr>
              <w:t xml:space="preserve">«___» __________ 20__ г.</w:t>
            </w:r>
            <w:r>
              <w:rPr>
                <w:rFonts w:ascii="Times New Roman" w:hAnsi="Times New Roman" w:cs="Times New Roman"/>
                <w:sz w:val="22"/>
                <w:szCs w:val="22"/>
                <w:lang w:eastAsia="en-US"/>
              </w:rPr>
            </w:r>
          </w:p>
          <w:p>
            <w:pPr>
              <w:pStyle w:val="1147"/>
              <w:ind w:left="1134" w:right="317" w:hanging="1134"/>
              <w:widowControl w:val="off"/>
              <w:tabs>
                <w:tab w:val="left" w:pos="1134" w:leader="none"/>
              </w:tabs>
              <w:rPr>
                <w:rFonts w:ascii="Times New Roman" w:hAnsi="Times New Roman" w:cs="Times New Roman"/>
                <w:sz w:val="22"/>
                <w:szCs w:val="22"/>
                <w:lang w:eastAsia="en-US"/>
              </w:rPr>
              <w:suppressLineNumbers/>
            </w:pPr>
            <w:r>
              <w:rPr>
                <w:rFonts w:ascii="Times New Roman" w:hAnsi="Times New Roman" w:cs="Times New Roman"/>
                <w:sz w:val="22"/>
                <w:szCs w:val="22"/>
                <w:lang w:eastAsia="en-US"/>
              </w:rPr>
              <w:t xml:space="preserve">М.П.</w:t>
            </w:r>
            <w:r>
              <w:rPr>
                <w:rFonts w:ascii="Times New Roman" w:hAnsi="Times New Roman" w:cs="Times New Roman"/>
                <w:sz w:val="22"/>
                <w:szCs w:val="22"/>
                <w:lang w:eastAsia="en-US"/>
              </w:rPr>
            </w:r>
          </w:p>
        </w:tc>
      </w:tr>
    </w:tbl>
    <w:p>
      <w:pPr>
        <w:widowControl w:val="off"/>
        <w:rPr>
          <w:rFonts w:ascii="Times New Roman" w:hAnsi="Times New Roman" w:cs="Times New Roman"/>
        </w:rPr>
      </w:pPr>
      <w:r>
        <w:rPr>
          <w:rFonts w:ascii="Times New Roman" w:hAnsi="Times New Roman" w:cs="Times New Roman"/>
        </w:rPr>
      </w:r>
      <w:r>
        <w:rPr>
          <w:rFonts w:ascii="Times New Roman" w:hAnsi="Times New Roman" w:cs="Times New Roman"/>
        </w:rPr>
      </w:r>
    </w:p>
    <w:p>
      <w:pPr>
        <w:spacing w:after="160" w:line="259" w:lineRule="auto"/>
        <w:rPr>
          <w:rFonts w:ascii="Times New Roman" w:hAnsi="Times New Roman" w:cs="Times New Roman"/>
        </w:rPr>
      </w:pPr>
      <w:r>
        <w:rPr>
          <w:rFonts w:ascii="Times New Roman" w:hAnsi="Times New Roman" w:cs="Times New Roman"/>
        </w:rPr>
        <w:br w:type="page" w:clear="all"/>
      </w:r>
      <w:r>
        <w:rPr>
          <w:rFonts w:ascii="Times New Roman" w:hAnsi="Times New Roman" w:cs="Times New Roman"/>
        </w:rPr>
      </w:r>
    </w:p>
    <w:p>
      <w:pPr>
        <w:ind w:left="10620" w:firstLine="11"/>
        <w:pageBreakBefore/>
        <w:spacing w:after="0" w:line="240" w:lineRule="auto"/>
        <w:widowControl w:val="off"/>
        <w:rPr>
          <w:rFonts w:ascii="Times New Roman" w:hAnsi="Times New Roman" w:cs="Times New Roman"/>
        </w:rPr>
      </w:pPr>
      <w:r>
        <w:rPr>
          <w:rFonts w:ascii="Times New Roman" w:hAnsi="Times New Roman" w:cs="Times New Roman"/>
        </w:rPr>
        <w:t xml:space="preserve">Приложение 6.2 </w:t>
      </w:r>
      <w:r>
        <w:rPr>
          <w:rFonts w:ascii="Times New Roman" w:hAnsi="Times New Roman" w:cs="Times New Roman"/>
        </w:rPr>
      </w:r>
    </w:p>
    <w:p>
      <w:pPr>
        <w:ind w:left="10620" w:firstLine="12"/>
        <w:spacing w:after="0" w:line="240" w:lineRule="auto"/>
        <w:widowControl w:val="off"/>
        <w:rPr>
          <w:rFonts w:ascii="Times New Roman" w:hAnsi="Times New Roman" w:cs="Times New Roman"/>
        </w:rPr>
      </w:pPr>
      <w:r>
        <w:rPr>
          <w:rFonts w:ascii="Times New Roman" w:hAnsi="Times New Roman" w:cs="Times New Roman"/>
        </w:rPr>
        <w:t xml:space="preserve">к Договору поставки</w:t>
      </w:r>
      <w:r>
        <w:rPr>
          <w:rFonts w:ascii="Times New Roman" w:hAnsi="Times New Roman" w:cs="Times New Roman"/>
        </w:rPr>
      </w:r>
    </w:p>
    <w:p>
      <w:pPr>
        <w:ind w:left="10620" w:firstLine="12"/>
        <w:spacing w:after="0" w:line="240" w:lineRule="auto"/>
        <w:widowControl w:val="off"/>
        <w:tabs>
          <w:tab w:val="right" w:pos="15138" w:leader="none"/>
        </w:tabs>
        <w:rPr>
          <w:rFonts w:ascii="Times New Roman" w:hAnsi="Times New Roman" w:cs="Times New Roman"/>
        </w:rPr>
      </w:pPr>
      <w:r>
        <w:rPr>
          <w:rFonts w:ascii="Times New Roman" w:hAnsi="Times New Roman" w:cs="Times New Roman"/>
        </w:rPr>
        <w:t xml:space="preserve">от «___» ________ _ г. № ____</w:t>
      </w:r>
      <w:r>
        <w:rPr>
          <w:rFonts w:ascii="Times New Roman" w:hAnsi="Times New Roman" w:cs="Times New Roman"/>
        </w:rPr>
        <w:tab/>
      </w:r>
      <w:r>
        <w:rPr>
          <w:rFonts w:ascii="Times New Roman" w:hAnsi="Times New Roman" w:cs="Times New Roman"/>
        </w:rPr>
      </w:r>
    </w:p>
    <w:p>
      <w:pPr>
        <w:widowControl w:val="off"/>
        <w:rPr>
          <w:rFonts w:ascii="Times New Roman" w:hAnsi="Times New Roman" w:cs="Times New Roman"/>
        </w:rPr>
      </w:pPr>
      <w:r>
        <w:rPr>
          <w:rFonts w:ascii="Times New Roman" w:hAnsi="Times New Roman" w:cs="Times New Roman"/>
        </w:rPr>
      </w:r>
      <w:r>
        <w:rPr>
          <w:rFonts w:ascii="Times New Roman" w:hAnsi="Times New Roman" w:cs="Times New Roman"/>
        </w:rPr>
      </w:r>
    </w:p>
    <w:p>
      <w:pPr>
        <w:jc w:val="center"/>
        <w:spacing w:after="0" w:line="240" w:lineRule="auto"/>
        <w:rPr>
          <w:rFonts w:ascii="Times New Roman" w:hAnsi="Times New Roman" w:cs="Times New Roman"/>
          <w:b/>
        </w:rPr>
      </w:pPr>
      <w:r>
        <w:rPr>
          <w:rFonts w:ascii="Times New Roman" w:hAnsi="Times New Roman" w:cs="Times New Roman"/>
          <w:b/>
        </w:rPr>
        <w:t xml:space="preserve">Форма</w:t>
      </w:r>
      <w:r>
        <w:rPr>
          <w:rFonts w:ascii="Times New Roman" w:hAnsi="Times New Roman" w:cs="Times New Roman"/>
          <w:b/>
        </w:rPr>
      </w:r>
    </w:p>
    <w:p>
      <w:pPr>
        <w:jc w:val="center"/>
        <w:spacing w:after="0" w:line="240" w:lineRule="auto"/>
        <w:widowControl w:val="off"/>
        <w:rPr>
          <w:rFonts w:ascii="Times New Roman" w:hAnsi="Times New Roman" w:cs="Times New Roman"/>
          <w:i/>
        </w:rPr>
      </w:pPr>
      <w:r>
        <w:rPr>
          <w:rFonts w:ascii="Times New Roman" w:hAnsi="Times New Roman" w:cs="Times New Roman"/>
          <w:i/>
        </w:rPr>
        <w:t xml:space="preserve">Изменения к независимой гарантии</w:t>
      </w:r>
      <w:r>
        <w:rPr>
          <w:rFonts w:ascii="Times New Roman" w:hAnsi="Times New Roman" w:cs="Times New Roman"/>
          <w:i/>
        </w:rPr>
      </w:r>
    </w:p>
    <w:p>
      <w:pPr>
        <w:spacing w:after="0" w:line="240" w:lineRule="auto"/>
        <w:widowControl w:val="off"/>
        <w:rPr>
          <w:rFonts w:ascii="Times New Roman" w:hAnsi="Times New Roman" w:cs="Times New Roman"/>
          <w:i/>
        </w:rPr>
      </w:pPr>
      <w:r>
        <w:rPr>
          <w:rFonts w:ascii="Times New Roman" w:hAnsi="Times New Roman" w:cs="Times New Roman"/>
          <w:i/>
        </w:rPr>
      </w:r>
      <w:r>
        <w:rPr>
          <w:rFonts w:ascii="Times New Roman" w:hAnsi="Times New Roman" w:cs="Times New Roman"/>
          <w:i/>
        </w:rPr>
      </w:r>
    </w:p>
    <w:p>
      <w:pPr>
        <w:ind w:firstLine="708"/>
        <w:jc w:val="both"/>
        <w:spacing w:after="120" w:line="240" w:lineRule="auto"/>
        <w:widowControl w:val="off"/>
        <w:rPr>
          <w:rFonts w:ascii="Times New Roman" w:hAnsi="Times New Roman" w:cs="Times New Roman"/>
          <w:i/>
        </w:rPr>
      </w:pPr>
      <w:r>
        <w:rPr>
          <w:rFonts w:ascii="Times New Roman" w:hAnsi="Times New Roman" w:cs="Times New Roman"/>
          <w:i/>
        </w:rPr>
        <w:t xml:space="preserve">Включается форма независимой гарантии в соответствии с СО 6.3191/0.</w:t>
      </w:r>
      <w:r>
        <w:rPr>
          <w:rFonts w:ascii="Times New Roman" w:hAnsi="Times New Roman" w:cs="Times New Roman"/>
          <w:i/>
        </w:rPr>
      </w:r>
    </w:p>
    <w:p>
      <w:pPr>
        <w:spacing w:after="120" w:line="240" w:lineRule="auto"/>
        <w:widowControl w:val="off"/>
        <w:rPr>
          <w:rFonts w:ascii="Times New Roman" w:hAnsi="Times New Roman" w:cs="Times New Roman"/>
        </w:rPr>
      </w:pPr>
      <w:r>
        <w:rPr>
          <w:rFonts w:ascii="Times New Roman" w:hAnsi="Times New Roman" w:cs="Times New Roman"/>
        </w:rPr>
      </w:r>
      <w:r>
        <w:rPr>
          <w:rFonts w:ascii="Times New Roman" w:hAnsi="Times New Roman" w:cs="Times New Roman"/>
        </w:rPr>
      </w:r>
    </w:p>
    <w:p>
      <w:pPr>
        <w:widowControl w:val="off"/>
        <w:rPr>
          <w:rFonts w:ascii="Times New Roman" w:hAnsi="Times New Roman" w:cs="Times New Roman"/>
        </w:rPr>
      </w:pPr>
      <w:r>
        <w:rPr>
          <w:rFonts w:ascii="Times New Roman" w:hAnsi="Times New Roman" w:cs="Times New Roman"/>
        </w:rPr>
      </w:r>
      <w:r>
        <w:rPr>
          <w:rFonts w:ascii="Times New Roman" w:hAnsi="Times New Roman" w:cs="Times New Roman"/>
        </w:rPr>
      </w:r>
    </w:p>
    <w:p>
      <w:pPr>
        <w:widowControl w:val="off"/>
        <w:rPr>
          <w:rFonts w:ascii="Times New Roman" w:hAnsi="Times New Roman" w:cs="Times New Roman"/>
        </w:rPr>
      </w:pPr>
      <w:r>
        <w:rPr>
          <w:rFonts w:ascii="Times New Roman" w:hAnsi="Times New Roman" w:cs="Times New Roman"/>
        </w:rPr>
      </w:r>
      <w:r>
        <w:rPr>
          <w:rFonts w:ascii="Times New Roman" w:hAnsi="Times New Roman" w:cs="Times New Roman"/>
        </w:rPr>
      </w:r>
    </w:p>
    <w:tbl>
      <w:tblPr>
        <w:tblW w:w="0" w:type="dxa"/>
        <w:tblInd w:w="108" w:type="dxa"/>
        <w:tblLayout w:type="fixed"/>
        <w:tblLook w:val="01E0" w:firstRow="1" w:lastRow="1" w:firstColumn="1" w:lastColumn="1" w:noHBand="0" w:noVBand="0"/>
      </w:tblPr>
      <w:tblGrid>
        <w:gridCol w:w="9639"/>
        <w:gridCol w:w="5529"/>
      </w:tblGrid>
      <w:tr>
        <w:tblPrEx/>
        <w:trPr/>
        <w:tc>
          <w:tcPr>
            <w:tcW w:w="9639" w:type="dxa"/>
            <w:textDirection w:val="lrTb"/>
            <w:noWrap w:val="false"/>
          </w:tcPr>
          <w:p>
            <w:pPr>
              <w:pStyle w:val="1147"/>
              <w:ind w:left="1134" w:right="317" w:hanging="1134"/>
              <w:widowControl w:val="off"/>
              <w:tabs>
                <w:tab w:val="left" w:pos="1134" w:leader="none"/>
              </w:tabs>
              <w:rPr>
                <w:rFonts w:ascii="Times New Roman" w:hAnsi="Times New Roman" w:cs="Times New Roman"/>
                <w:sz w:val="22"/>
                <w:szCs w:val="22"/>
                <w:lang w:val="ru-RU" w:eastAsia="en-US"/>
              </w:rPr>
              <w:suppressLineNumbers/>
            </w:pPr>
            <w:r>
              <w:rPr>
                <w:rFonts w:ascii="Times New Roman" w:hAnsi="Times New Roman" w:cs="Times New Roman"/>
                <w:sz w:val="22"/>
                <w:szCs w:val="22"/>
                <w:lang w:val="ru-RU" w:eastAsia="en-US"/>
              </w:rPr>
              <w:t xml:space="preserve">ПОКУПАТЕЛЬ</w:t>
            </w:r>
            <w:r>
              <w:rPr>
                <w:rFonts w:ascii="Times New Roman" w:hAnsi="Times New Roman" w:cs="Times New Roman"/>
                <w:sz w:val="22"/>
                <w:szCs w:val="22"/>
                <w:lang w:val="ru-RU" w:eastAsia="en-US"/>
              </w:rPr>
            </w:r>
          </w:p>
          <w:p>
            <w:pPr>
              <w:widowControl w:val="off"/>
              <w:rPr>
                <w:rFonts w:ascii="Times New Roman" w:hAnsi="Times New Roman" w:cs="Times New Roman"/>
              </w:rPr>
            </w:pPr>
            <w:r>
              <w:rPr>
                <w:rFonts w:ascii="Times New Roman" w:hAnsi="Times New Roman" w:cs="Times New Roman"/>
              </w:rPr>
              <w:t xml:space="preserve">_______________________</w:t>
            </w:r>
            <w:r>
              <w:rPr>
                <w:rFonts w:ascii="Times New Roman" w:hAnsi="Times New Roman" w:cs="Times New Roman"/>
              </w:rPr>
            </w:r>
          </w:p>
          <w:p>
            <w:pPr>
              <w:pStyle w:val="1147"/>
              <w:ind w:left="1134" w:right="317" w:hanging="1134"/>
              <w:widowControl w:val="off"/>
              <w:tabs>
                <w:tab w:val="left" w:pos="1134" w:leader="none"/>
              </w:tabs>
              <w:rPr>
                <w:rFonts w:ascii="Times New Roman" w:hAnsi="Times New Roman" w:cs="Times New Roman"/>
                <w:sz w:val="22"/>
                <w:szCs w:val="22"/>
                <w:lang w:eastAsia="en-US"/>
              </w:rPr>
              <w:suppressLineNumbers/>
            </w:pPr>
            <w:r>
              <w:rPr>
                <w:rFonts w:ascii="Times New Roman" w:hAnsi="Times New Roman" w:cs="Times New Roman"/>
                <w:sz w:val="22"/>
                <w:szCs w:val="22"/>
                <w:lang w:eastAsia="en-US"/>
              </w:rPr>
              <w:t xml:space="preserve">______________________/_______________/</w:t>
            </w:r>
            <w:r>
              <w:rPr>
                <w:rFonts w:ascii="Times New Roman" w:hAnsi="Times New Roman" w:cs="Times New Roman"/>
                <w:sz w:val="22"/>
                <w:szCs w:val="22"/>
                <w:lang w:eastAsia="en-US"/>
              </w:rPr>
            </w:r>
          </w:p>
          <w:p>
            <w:pPr>
              <w:pStyle w:val="1147"/>
              <w:ind w:left="1134" w:right="317" w:hanging="1134"/>
              <w:widowControl w:val="off"/>
              <w:tabs>
                <w:tab w:val="left" w:pos="1134" w:leader="none"/>
              </w:tabs>
              <w:rPr>
                <w:rFonts w:ascii="Times New Roman" w:hAnsi="Times New Roman" w:cs="Times New Roman"/>
                <w:sz w:val="22"/>
                <w:szCs w:val="22"/>
                <w:lang w:eastAsia="en-US"/>
              </w:rPr>
              <w:suppressLineNumbers/>
            </w:pPr>
            <w:r>
              <w:rPr>
                <w:rFonts w:ascii="Times New Roman" w:hAnsi="Times New Roman" w:cs="Times New Roman"/>
                <w:sz w:val="22"/>
                <w:szCs w:val="22"/>
                <w:lang w:eastAsia="en-US"/>
              </w:rPr>
              <w:t xml:space="preserve">«___» __________ 20__ г.</w:t>
            </w:r>
            <w:r>
              <w:rPr>
                <w:rFonts w:ascii="Times New Roman" w:hAnsi="Times New Roman" w:cs="Times New Roman"/>
                <w:sz w:val="22"/>
                <w:szCs w:val="22"/>
                <w:lang w:eastAsia="en-US"/>
              </w:rPr>
            </w:r>
          </w:p>
          <w:p>
            <w:pPr>
              <w:pStyle w:val="1147"/>
              <w:ind w:left="1134" w:right="317" w:hanging="1134"/>
              <w:widowControl w:val="off"/>
              <w:tabs>
                <w:tab w:val="left" w:pos="2040" w:leader="none"/>
              </w:tabs>
              <w:rPr>
                <w:rFonts w:ascii="Times New Roman" w:hAnsi="Times New Roman" w:cs="Times New Roman"/>
                <w:sz w:val="22"/>
                <w:szCs w:val="22"/>
                <w:lang w:val="ru-RU" w:eastAsia="en-US"/>
              </w:rPr>
              <w:suppressLineNumbers/>
            </w:pPr>
            <w:r>
              <w:rPr>
                <w:rFonts w:ascii="Times New Roman" w:hAnsi="Times New Roman" w:cs="Times New Roman"/>
                <w:sz w:val="22"/>
                <w:szCs w:val="22"/>
                <w:lang w:eastAsia="en-US"/>
              </w:rPr>
              <w:t xml:space="preserve">М.П.</w:t>
            </w:r>
            <w:r>
              <w:rPr>
                <w:rFonts w:ascii="Times New Roman" w:hAnsi="Times New Roman" w:cs="Times New Roman"/>
                <w:sz w:val="22"/>
                <w:szCs w:val="22"/>
                <w:lang w:val="ru-RU" w:eastAsia="en-US"/>
              </w:rPr>
            </w:r>
          </w:p>
        </w:tc>
        <w:tc>
          <w:tcPr>
            <w:tcW w:w="5529" w:type="dxa"/>
            <w:textDirection w:val="lrTb"/>
            <w:noWrap w:val="false"/>
          </w:tcPr>
          <w:p>
            <w:pPr>
              <w:pStyle w:val="1147"/>
              <w:ind w:left="1134" w:right="317" w:hanging="1134"/>
              <w:widowControl w:val="off"/>
              <w:tabs>
                <w:tab w:val="left" w:pos="1134" w:leader="none"/>
              </w:tabs>
              <w:rPr>
                <w:rFonts w:ascii="Times New Roman" w:hAnsi="Times New Roman" w:cs="Times New Roman"/>
                <w:sz w:val="22"/>
                <w:szCs w:val="22"/>
                <w:lang w:val="ru-RU" w:eastAsia="en-US"/>
              </w:rPr>
              <w:suppressLineNumbers/>
            </w:pPr>
            <w:r>
              <w:rPr>
                <w:rFonts w:ascii="Times New Roman" w:hAnsi="Times New Roman" w:cs="Times New Roman"/>
                <w:sz w:val="22"/>
                <w:szCs w:val="22"/>
                <w:lang w:val="ru-RU" w:eastAsia="en-US"/>
              </w:rPr>
              <w:t xml:space="preserve">ПОСТАВЩИК</w:t>
            </w:r>
            <w:r>
              <w:rPr>
                <w:rFonts w:ascii="Times New Roman" w:hAnsi="Times New Roman" w:cs="Times New Roman"/>
                <w:sz w:val="22"/>
                <w:szCs w:val="22"/>
                <w:lang w:val="ru-RU" w:eastAsia="en-US"/>
              </w:rPr>
            </w:r>
          </w:p>
          <w:p>
            <w:pPr>
              <w:widowControl w:val="off"/>
              <w:rPr>
                <w:rFonts w:ascii="Times New Roman" w:hAnsi="Times New Roman" w:cs="Times New Roman"/>
              </w:rPr>
            </w:pPr>
            <w:r>
              <w:rPr>
                <w:rFonts w:ascii="Times New Roman" w:hAnsi="Times New Roman" w:cs="Times New Roman"/>
              </w:rPr>
              <w:t xml:space="preserve">_______________________</w:t>
            </w:r>
            <w:r>
              <w:rPr>
                <w:rFonts w:ascii="Times New Roman" w:hAnsi="Times New Roman" w:cs="Times New Roman"/>
              </w:rPr>
            </w:r>
          </w:p>
          <w:p>
            <w:pPr>
              <w:pStyle w:val="1147"/>
              <w:ind w:left="1134" w:right="317" w:hanging="1134"/>
              <w:widowControl w:val="off"/>
              <w:tabs>
                <w:tab w:val="left" w:pos="1134" w:leader="none"/>
              </w:tabs>
              <w:rPr>
                <w:rFonts w:ascii="Times New Roman" w:hAnsi="Times New Roman" w:cs="Times New Roman"/>
                <w:sz w:val="22"/>
                <w:szCs w:val="22"/>
                <w:lang w:eastAsia="en-US"/>
              </w:rPr>
              <w:suppressLineNumbers/>
            </w:pPr>
            <w:r>
              <w:rPr>
                <w:rFonts w:ascii="Times New Roman" w:hAnsi="Times New Roman" w:cs="Times New Roman"/>
                <w:sz w:val="22"/>
                <w:szCs w:val="22"/>
                <w:lang w:eastAsia="en-US"/>
              </w:rPr>
              <w:t xml:space="preserve">______________/___________________/</w:t>
            </w:r>
            <w:r>
              <w:rPr>
                <w:rFonts w:ascii="Times New Roman" w:hAnsi="Times New Roman" w:cs="Times New Roman"/>
                <w:sz w:val="22"/>
                <w:szCs w:val="22"/>
                <w:lang w:eastAsia="en-US"/>
              </w:rPr>
            </w:r>
          </w:p>
          <w:p>
            <w:pPr>
              <w:pStyle w:val="1147"/>
              <w:ind w:left="1134" w:right="317" w:hanging="1134"/>
              <w:widowControl w:val="off"/>
              <w:tabs>
                <w:tab w:val="left" w:pos="1134" w:leader="none"/>
              </w:tabs>
              <w:rPr>
                <w:rFonts w:ascii="Times New Roman" w:hAnsi="Times New Roman" w:cs="Times New Roman"/>
                <w:sz w:val="22"/>
                <w:szCs w:val="22"/>
                <w:lang w:eastAsia="en-US"/>
              </w:rPr>
              <w:suppressLineNumbers/>
            </w:pPr>
            <w:r>
              <w:rPr>
                <w:rFonts w:ascii="Times New Roman" w:hAnsi="Times New Roman" w:cs="Times New Roman"/>
                <w:sz w:val="22"/>
                <w:szCs w:val="22"/>
                <w:lang w:eastAsia="en-US"/>
              </w:rPr>
              <w:t xml:space="preserve">«___» __________ 20__ г.</w:t>
            </w:r>
            <w:r>
              <w:rPr>
                <w:rFonts w:ascii="Times New Roman" w:hAnsi="Times New Roman" w:cs="Times New Roman"/>
                <w:sz w:val="22"/>
                <w:szCs w:val="22"/>
                <w:lang w:eastAsia="en-US"/>
              </w:rPr>
            </w:r>
          </w:p>
          <w:p>
            <w:pPr>
              <w:pStyle w:val="1147"/>
              <w:ind w:left="1134" w:right="317" w:hanging="1134"/>
              <w:widowControl w:val="off"/>
              <w:tabs>
                <w:tab w:val="left" w:pos="1134" w:leader="none"/>
              </w:tabs>
              <w:rPr>
                <w:rFonts w:ascii="Times New Roman" w:hAnsi="Times New Roman" w:cs="Times New Roman"/>
                <w:sz w:val="22"/>
                <w:szCs w:val="22"/>
                <w:lang w:eastAsia="en-US"/>
              </w:rPr>
              <w:suppressLineNumbers/>
            </w:pPr>
            <w:r>
              <w:rPr>
                <w:rFonts w:ascii="Times New Roman" w:hAnsi="Times New Roman" w:cs="Times New Roman"/>
                <w:sz w:val="22"/>
                <w:szCs w:val="22"/>
                <w:lang w:eastAsia="en-US"/>
              </w:rPr>
              <w:t xml:space="preserve">М.П.</w:t>
            </w:r>
            <w:r>
              <w:rPr>
                <w:rFonts w:ascii="Times New Roman" w:hAnsi="Times New Roman" w:cs="Times New Roman"/>
                <w:sz w:val="22"/>
                <w:szCs w:val="22"/>
                <w:lang w:eastAsia="en-US"/>
              </w:rPr>
            </w:r>
          </w:p>
        </w:tc>
      </w:tr>
    </w:tbl>
    <w:p>
      <w:pPr>
        <w:spacing w:after="0" w:line="240" w:lineRule="auto"/>
        <w:widowControl w:val="off"/>
        <w:rPr>
          <w:rFonts w:ascii="Times New Roman" w:hAnsi="Times New Roman" w:cs="Times New Roman"/>
        </w:rPr>
      </w:pPr>
      <w:r>
        <w:rPr>
          <w:rFonts w:ascii="Times New Roman" w:hAnsi="Times New Roman" w:cs="Times New Roman"/>
        </w:rPr>
      </w:r>
      <w:r>
        <w:rPr>
          <w:rFonts w:ascii="Times New Roman" w:hAnsi="Times New Roman" w:cs="Times New Roman"/>
        </w:rPr>
      </w:r>
    </w:p>
    <w:p>
      <w:pPr>
        <w:spacing w:after="160" w:line="259" w:lineRule="auto"/>
        <w:rPr>
          <w:rFonts w:ascii="Times New Roman" w:hAnsi="Times New Roman" w:cs="Times New Roman"/>
        </w:rPr>
      </w:pPr>
      <w:r>
        <w:rPr>
          <w:rFonts w:ascii="Times New Roman" w:hAnsi="Times New Roman" w:cs="Times New Roman"/>
        </w:rPr>
        <w:br w:type="page" w:clear="all"/>
      </w:r>
      <w:r>
        <w:rPr>
          <w:rFonts w:ascii="Times New Roman" w:hAnsi="Times New Roman" w:cs="Times New Roman"/>
        </w:rPr>
      </w:r>
    </w:p>
    <w:p>
      <w:pPr>
        <w:ind w:left="10620" w:firstLine="11"/>
        <w:pageBreakBefore/>
        <w:spacing w:after="0" w:line="240" w:lineRule="auto"/>
        <w:widowControl w:val="off"/>
        <w:rPr>
          <w:rFonts w:ascii="Times New Roman" w:hAnsi="Times New Roman" w:cs="Times New Roman"/>
        </w:rPr>
      </w:pPr>
      <w:r>
        <w:rPr>
          <w:rFonts w:ascii="Times New Roman" w:hAnsi="Times New Roman" w:cs="Times New Roman"/>
        </w:rPr>
        <w:t xml:space="preserve">Приложение 6.3 </w:t>
      </w:r>
      <w:r>
        <w:rPr>
          <w:rFonts w:ascii="Times New Roman" w:hAnsi="Times New Roman" w:cs="Times New Roman"/>
        </w:rPr>
      </w:r>
    </w:p>
    <w:p>
      <w:pPr>
        <w:ind w:left="10620" w:firstLine="12"/>
        <w:spacing w:after="0" w:line="240" w:lineRule="auto"/>
        <w:widowControl w:val="off"/>
        <w:rPr>
          <w:rFonts w:ascii="Times New Roman" w:hAnsi="Times New Roman" w:cs="Times New Roman"/>
        </w:rPr>
      </w:pPr>
      <w:r>
        <w:rPr>
          <w:rFonts w:ascii="Times New Roman" w:hAnsi="Times New Roman" w:cs="Times New Roman"/>
        </w:rPr>
        <w:t xml:space="preserve">к Договору поставки</w:t>
      </w:r>
      <w:r>
        <w:rPr>
          <w:rFonts w:ascii="Times New Roman" w:hAnsi="Times New Roman" w:cs="Times New Roman"/>
        </w:rPr>
      </w:r>
    </w:p>
    <w:p>
      <w:pPr>
        <w:ind w:left="10620" w:firstLine="12"/>
        <w:spacing w:after="0" w:line="240" w:lineRule="auto"/>
        <w:widowControl w:val="off"/>
        <w:tabs>
          <w:tab w:val="right" w:pos="15138" w:leader="none"/>
        </w:tabs>
        <w:rPr>
          <w:rFonts w:ascii="Times New Roman" w:hAnsi="Times New Roman" w:cs="Times New Roman"/>
        </w:rPr>
      </w:pPr>
      <w:r>
        <w:rPr>
          <w:rFonts w:ascii="Times New Roman" w:hAnsi="Times New Roman" w:cs="Times New Roman"/>
        </w:rPr>
        <w:t xml:space="preserve">от «___» ________ _ г. № ____</w:t>
      </w:r>
      <w:r>
        <w:rPr>
          <w:rFonts w:ascii="Times New Roman" w:hAnsi="Times New Roman" w:cs="Times New Roman"/>
        </w:rPr>
        <w:tab/>
      </w:r>
      <w:r>
        <w:rPr>
          <w:rFonts w:ascii="Times New Roman" w:hAnsi="Times New Roman" w:cs="Times New Roman"/>
        </w:rPr>
      </w:r>
    </w:p>
    <w:p>
      <w:pPr>
        <w:jc w:val="center"/>
        <w:spacing w:after="0" w:line="240" w:lineRule="auto"/>
        <w:widowControl w:val="off"/>
        <w:rPr>
          <w:rFonts w:ascii="Times New Roman" w:hAnsi="Times New Roman" w:cs="Times New Roman"/>
        </w:rPr>
      </w:pPr>
      <w:r>
        <w:rPr>
          <w:rFonts w:ascii="Times New Roman" w:hAnsi="Times New Roman" w:cs="Times New Roman"/>
        </w:rPr>
      </w:r>
      <w:r>
        <w:rPr>
          <w:rFonts w:ascii="Times New Roman" w:hAnsi="Times New Roman" w:cs="Times New Roman"/>
        </w:rPr>
      </w:r>
    </w:p>
    <w:p>
      <w:pPr>
        <w:jc w:val="center"/>
        <w:spacing w:after="0" w:line="240" w:lineRule="auto"/>
        <w:rPr>
          <w:rFonts w:ascii="Times New Roman" w:hAnsi="Times New Roman" w:cs="Times New Roman"/>
          <w:b/>
          <w:bCs/>
        </w:rPr>
      </w:pPr>
      <w:r>
        <w:rPr>
          <w:rFonts w:ascii="Times New Roman" w:hAnsi="Times New Roman" w:cs="Times New Roman"/>
          <w:b/>
          <w:bCs/>
        </w:rPr>
        <w:t xml:space="preserve">Форма</w:t>
      </w:r>
      <w:r>
        <w:rPr>
          <w:rFonts w:ascii="Times New Roman" w:hAnsi="Times New Roman" w:cs="Times New Roman"/>
          <w:b/>
          <w:bCs/>
        </w:rPr>
      </w:r>
    </w:p>
    <w:p>
      <w:pPr>
        <w:jc w:val="center"/>
        <w:spacing w:after="0" w:line="240" w:lineRule="auto"/>
        <w:widowControl w:val="off"/>
        <w:rPr>
          <w:rFonts w:ascii="Times New Roman" w:hAnsi="Times New Roman" w:cs="Times New Roman"/>
          <w:b/>
          <w:bCs/>
          <w:i/>
        </w:rPr>
      </w:pPr>
      <w:r>
        <w:rPr>
          <w:rFonts w:ascii="Times New Roman" w:hAnsi="Times New Roman" w:cs="Times New Roman"/>
          <w:b/>
          <w:bCs/>
          <w:i/>
        </w:rPr>
        <w:t xml:space="preserve">единой независимой гарантии</w:t>
      </w:r>
      <w:r>
        <w:rPr>
          <w:rFonts w:ascii="Times New Roman" w:hAnsi="Times New Roman" w:cs="Times New Roman"/>
          <w:b/>
          <w:bCs/>
          <w:i/>
        </w:rPr>
      </w:r>
    </w:p>
    <w:p>
      <w:pPr>
        <w:spacing w:after="0" w:line="240" w:lineRule="auto"/>
        <w:widowControl w:val="off"/>
        <w:rPr>
          <w:rFonts w:ascii="Times New Roman" w:hAnsi="Times New Roman" w:cs="Times New Roman"/>
          <w:b/>
          <w:bCs/>
          <w:i/>
        </w:rPr>
      </w:pPr>
      <w:r>
        <w:rPr>
          <w:rFonts w:ascii="Times New Roman" w:hAnsi="Times New Roman" w:cs="Times New Roman"/>
          <w:b/>
          <w:bCs/>
          <w:i/>
        </w:rPr>
      </w:r>
      <w:r>
        <w:rPr>
          <w:rFonts w:ascii="Times New Roman" w:hAnsi="Times New Roman" w:cs="Times New Roman"/>
          <w:b/>
          <w:bCs/>
          <w:i/>
        </w:rPr>
      </w:r>
    </w:p>
    <w:p>
      <w:pPr>
        <w:ind w:firstLine="708"/>
        <w:jc w:val="both"/>
        <w:spacing w:after="120" w:line="240" w:lineRule="auto"/>
        <w:widowControl w:val="off"/>
        <w:rPr>
          <w:rFonts w:ascii="Times New Roman" w:hAnsi="Times New Roman" w:cs="Times New Roman"/>
          <w:i/>
        </w:rPr>
      </w:pPr>
      <w:r>
        <w:rPr>
          <w:rFonts w:ascii="Times New Roman" w:hAnsi="Times New Roman" w:cs="Times New Roman"/>
          <w:i/>
        </w:rPr>
        <w:t xml:space="preserve">Включается форма независимой гарантии в соответствии с СО 6.3191/0.</w:t>
      </w:r>
      <w:r>
        <w:rPr>
          <w:rFonts w:ascii="Times New Roman" w:hAnsi="Times New Roman" w:cs="Times New Roman"/>
          <w:i/>
        </w:rPr>
      </w:r>
    </w:p>
    <w:p>
      <w:pPr>
        <w:spacing w:after="120" w:line="240" w:lineRule="auto"/>
        <w:widowControl w:val="off"/>
        <w:rPr>
          <w:rFonts w:ascii="Times New Roman" w:hAnsi="Times New Roman" w:cs="Times New Roman"/>
        </w:rPr>
      </w:pPr>
      <w:r>
        <w:rPr>
          <w:rFonts w:ascii="Times New Roman" w:hAnsi="Times New Roman" w:cs="Times New Roman"/>
        </w:rPr>
      </w:r>
      <w:r>
        <w:rPr>
          <w:rFonts w:ascii="Times New Roman" w:hAnsi="Times New Roman" w:cs="Times New Roman"/>
        </w:rPr>
      </w:r>
    </w:p>
    <w:p>
      <w:pPr>
        <w:widowControl w:val="off"/>
        <w:rPr>
          <w:rFonts w:ascii="Times New Roman" w:hAnsi="Times New Roman" w:cs="Times New Roman"/>
        </w:rPr>
      </w:pPr>
      <w:r>
        <w:rPr>
          <w:rFonts w:ascii="Times New Roman" w:hAnsi="Times New Roman" w:cs="Times New Roman"/>
        </w:rPr>
      </w:r>
      <w:r>
        <w:rPr>
          <w:rFonts w:ascii="Times New Roman" w:hAnsi="Times New Roman" w:cs="Times New Roman"/>
        </w:rPr>
      </w:r>
    </w:p>
    <w:p>
      <w:pPr>
        <w:widowControl w:val="off"/>
        <w:rPr>
          <w:rFonts w:ascii="Times New Roman" w:hAnsi="Times New Roman" w:cs="Times New Roman"/>
        </w:rPr>
      </w:pPr>
      <w:r>
        <w:rPr>
          <w:rFonts w:ascii="Times New Roman" w:hAnsi="Times New Roman" w:cs="Times New Roman"/>
        </w:rPr>
      </w:r>
      <w:r>
        <w:rPr>
          <w:rFonts w:ascii="Times New Roman" w:hAnsi="Times New Roman" w:cs="Times New Roman"/>
        </w:rPr>
      </w:r>
    </w:p>
    <w:tbl>
      <w:tblPr>
        <w:tblW w:w="0" w:type="dxa"/>
        <w:tblInd w:w="108" w:type="dxa"/>
        <w:tblLayout w:type="fixed"/>
        <w:tblLook w:val="01E0" w:firstRow="1" w:lastRow="1" w:firstColumn="1" w:lastColumn="1" w:noHBand="0" w:noVBand="0"/>
      </w:tblPr>
      <w:tblGrid>
        <w:gridCol w:w="9639"/>
        <w:gridCol w:w="5529"/>
      </w:tblGrid>
      <w:tr>
        <w:tblPrEx/>
        <w:trPr/>
        <w:tc>
          <w:tcPr>
            <w:tcW w:w="9639" w:type="dxa"/>
            <w:textDirection w:val="lrTb"/>
            <w:noWrap w:val="false"/>
          </w:tcPr>
          <w:p>
            <w:pPr>
              <w:pStyle w:val="1147"/>
              <w:ind w:left="1134" w:right="317" w:hanging="1134"/>
              <w:widowControl w:val="off"/>
              <w:tabs>
                <w:tab w:val="left" w:pos="1134" w:leader="none"/>
              </w:tabs>
              <w:rPr>
                <w:rFonts w:ascii="Times New Roman" w:hAnsi="Times New Roman" w:cs="Times New Roman"/>
                <w:sz w:val="22"/>
                <w:szCs w:val="22"/>
                <w:lang w:val="ru-RU" w:eastAsia="en-US"/>
              </w:rPr>
              <w:suppressLineNumbers/>
            </w:pPr>
            <w:r>
              <w:rPr>
                <w:rFonts w:ascii="Times New Roman" w:hAnsi="Times New Roman" w:cs="Times New Roman"/>
                <w:sz w:val="22"/>
                <w:szCs w:val="22"/>
                <w:lang w:val="ru-RU" w:eastAsia="en-US"/>
              </w:rPr>
              <w:t xml:space="preserve">ПОКУПАТЕЛЬ</w:t>
            </w:r>
            <w:r>
              <w:rPr>
                <w:rFonts w:ascii="Times New Roman" w:hAnsi="Times New Roman" w:cs="Times New Roman"/>
                <w:sz w:val="22"/>
                <w:szCs w:val="22"/>
                <w:lang w:val="ru-RU" w:eastAsia="en-US"/>
              </w:rPr>
            </w:r>
          </w:p>
          <w:p>
            <w:pPr>
              <w:widowControl w:val="off"/>
              <w:rPr>
                <w:rFonts w:ascii="Times New Roman" w:hAnsi="Times New Roman" w:cs="Times New Roman"/>
              </w:rPr>
            </w:pPr>
            <w:r>
              <w:rPr>
                <w:rFonts w:ascii="Times New Roman" w:hAnsi="Times New Roman" w:cs="Times New Roman"/>
              </w:rPr>
              <w:t xml:space="preserve">_______________________</w:t>
            </w:r>
            <w:r>
              <w:rPr>
                <w:rFonts w:ascii="Times New Roman" w:hAnsi="Times New Roman" w:cs="Times New Roman"/>
              </w:rPr>
            </w:r>
          </w:p>
          <w:p>
            <w:pPr>
              <w:pStyle w:val="1147"/>
              <w:ind w:left="1134" w:right="317" w:hanging="1134"/>
              <w:widowControl w:val="off"/>
              <w:tabs>
                <w:tab w:val="left" w:pos="1134" w:leader="none"/>
              </w:tabs>
              <w:rPr>
                <w:rFonts w:ascii="Times New Roman" w:hAnsi="Times New Roman" w:cs="Times New Roman"/>
                <w:sz w:val="22"/>
                <w:szCs w:val="22"/>
                <w:lang w:eastAsia="en-US"/>
              </w:rPr>
              <w:suppressLineNumbers/>
            </w:pPr>
            <w:r>
              <w:rPr>
                <w:rFonts w:ascii="Times New Roman" w:hAnsi="Times New Roman" w:cs="Times New Roman"/>
                <w:sz w:val="22"/>
                <w:szCs w:val="22"/>
                <w:lang w:eastAsia="en-US"/>
              </w:rPr>
              <w:t xml:space="preserve">______________________/_______________/</w:t>
            </w:r>
            <w:r>
              <w:rPr>
                <w:rFonts w:ascii="Times New Roman" w:hAnsi="Times New Roman" w:cs="Times New Roman"/>
                <w:sz w:val="22"/>
                <w:szCs w:val="22"/>
                <w:lang w:eastAsia="en-US"/>
              </w:rPr>
            </w:r>
          </w:p>
          <w:p>
            <w:pPr>
              <w:pStyle w:val="1147"/>
              <w:ind w:left="1134" w:right="317" w:hanging="1134"/>
              <w:widowControl w:val="off"/>
              <w:tabs>
                <w:tab w:val="left" w:pos="1134" w:leader="none"/>
              </w:tabs>
              <w:rPr>
                <w:rFonts w:ascii="Times New Roman" w:hAnsi="Times New Roman" w:cs="Times New Roman"/>
                <w:sz w:val="22"/>
                <w:szCs w:val="22"/>
                <w:lang w:eastAsia="en-US"/>
              </w:rPr>
              <w:suppressLineNumbers/>
            </w:pPr>
            <w:r>
              <w:rPr>
                <w:rFonts w:ascii="Times New Roman" w:hAnsi="Times New Roman" w:cs="Times New Roman"/>
                <w:sz w:val="22"/>
                <w:szCs w:val="22"/>
                <w:lang w:eastAsia="en-US"/>
              </w:rPr>
              <w:t xml:space="preserve">«___» __________ 20__ г.</w:t>
            </w:r>
            <w:r>
              <w:rPr>
                <w:rFonts w:ascii="Times New Roman" w:hAnsi="Times New Roman" w:cs="Times New Roman"/>
                <w:sz w:val="22"/>
                <w:szCs w:val="22"/>
                <w:lang w:eastAsia="en-US"/>
              </w:rPr>
            </w:r>
          </w:p>
          <w:p>
            <w:pPr>
              <w:pStyle w:val="1147"/>
              <w:ind w:left="1134" w:right="317" w:hanging="1134"/>
              <w:widowControl w:val="off"/>
              <w:tabs>
                <w:tab w:val="left" w:pos="2040" w:leader="none"/>
              </w:tabs>
              <w:rPr>
                <w:rFonts w:ascii="Times New Roman" w:hAnsi="Times New Roman" w:cs="Times New Roman"/>
                <w:sz w:val="22"/>
                <w:szCs w:val="22"/>
                <w:lang w:val="ru-RU" w:eastAsia="en-US"/>
              </w:rPr>
              <w:suppressLineNumbers/>
            </w:pPr>
            <w:r>
              <w:rPr>
                <w:rFonts w:ascii="Times New Roman" w:hAnsi="Times New Roman" w:cs="Times New Roman"/>
                <w:sz w:val="22"/>
                <w:szCs w:val="22"/>
                <w:lang w:eastAsia="en-US"/>
              </w:rPr>
              <w:t xml:space="preserve">М.П.</w:t>
            </w:r>
            <w:r>
              <w:rPr>
                <w:rFonts w:ascii="Times New Roman" w:hAnsi="Times New Roman" w:cs="Times New Roman"/>
                <w:sz w:val="22"/>
                <w:szCs w:val="22"/>
                <w:lang w:val="ru-RU" w:eastAsia="en-US"/>
              </w:rPr>
            </w:r>
          </w:p>
        </w:tc>
        <w:tc>
          <w:tcPr>
            <w:tcW w:w="5529" w:type="dxa"/>
            <w:textDirection w:val="lrTb"/>
            <w:noWrap w:val="false"/>
          </w:tcPr>
          <w:p>
            <w:pPr>
              <w:pStyle w:val="1147"/>
              <w:ind w:left="1134" w:right="317" w:hanging="1134"/>
              <w:widowControl w:val="off"/>
              <w:tabs>
                <w:tab w:val="left" w:pos="1134" w:leader="none"/>
              </w:tabs>
              <w:rPr>
                <w:rFonts w:ascii="Times New Roman" w:hAnsi="Times New Roman" w:cs="Times New Roman"/>
                <w:sz w:val="22"/>
                <w:szCs w:val="22"/>
                <w:lang w:val="ru-RU" w:eastAsia="en-US"/>
              </w:rPr>
              <w:suppressLineNumbers/>
            </w:pPr>
            <w:r>
              <w:rPr>
                <w:rFonts w:ascii="Times New Roman" w:hAnsi="Times New Roman" w:cs="Times New Roman"/>
                <w:sz w:val="22"/>
                <w:szCs w:val="22"/>
                <w:lang w:val="ru-RU" w:eastAsia="en-US"/>
              </w:rPr>
              <w:t xml:space="preserve">ПОСТАВЩИК</w:t>
            </w:r>
            <w:r>
              <w:rPr>
                <w:rFonts w:ascii="Times New Roman" w:hAnsi="Times New Roman" w:cs="Times New Roman"/>
                <w:sz w:val="22"/>
                <w:szCs w:val="22"/>
                <w:lang w:val="ru-RU" w:eastAsia="en-US"/>
              </w:rPr>
            </w:r>
          </w:p>
          <w:p>
            <w:pPr>
              <w:widowControl w:val="off"/>
              <w:rPr>
                <w:rFonts w:ascii="Times New Roman" w:hAnsi="Times New Roman" w:cs="Times New Roman"/>
              </w:rPr>
            </w:pPr>
            <w:r>
              <w:rPr>
                <w:rFonts w:ascii="Times New Roman" w:hAnsi="Times New Roman" w:cs="Times New Roman"/>
              </w:rPr>
              <w:t xml:space="preserve">_______________________</w:t>
            </w:r>
            <w:r>
              <w:rPr>
                <w:rFonts w:ascii="Times New Roman" w:hAnsi="Times New Roman" w:cs="Times New Roman"/>
              </w:rPr>
            </w:r>
          </w:p>
          <w:p>
            <w:pPr>
              <w:pStyle w:val="1147"/>
              <w:ind w:left="1134" w:right="317" w:hanging="1134"/>
              <w:widowControl w:val="off"/>
              <w:tabs>
                <w:tab w:val="left" w:pos="1134" w:leader="none"/>
              </w:tabs>
              <w:rPr>
                <w:rFonts w:ascii="Times New Roman" w:hAnsi="Times New Roman" w:cs="Times New Roman"/>
                <w:sz w:val="22"/>
                <w:szCs w:val="22"/>
                <w:lang w:eastAsia="en-US"/>
              </w:rPr>
              <w:suppressLineNumbers/>
            </w:pPr>
            <w:r>
              <w:rPr>
                <w:rFonts w:ascii="Times New Roman" w:hAnsi="Times New Roman" w:cs="Times New Roman"/>
                <w:sz w:val="22"/>
                <w:szCs w:val="22"/>
                <w:lang w:eastAsia="en-US"/>
              </w:rPr>
              <w:t xml:space="preserve">______________/___________________/</w:t>
            </w:r>
            <w:r>
              <w:rPr>
                <w:rFonts w:ascii="Times New Roman" w:hAnsi="Times New Roman" w:cs="Times New Roman"/>
                <w:sz w:val="22"/>
                <w:szCs w:val="22"/>
                <w:lang w:eastAsia="en-US"/>
              </w:rPr>
            </w:r>
          </w:p>
          <w:p>
            <w:pPr>
              <w:pStyle w:val="1147"/>
              <w:ind w:left="1134" w:right="317" w:hanging="1134"/>
              <w:widowControl w:val="off"/>
              <w:tabs>
                <w:tab w:val="left" w:pos="1134" w:leader="none"/>
              </w:tabs>
              <w:rPr>
                <w:rFonts w:ascii="Times New Roman" w:hAnsi="Times New Roman" w:cs="Times New Roman"/>
                <w:sz w:val="22"/>
                <w:szCs w:val="22"/>
                <w:lang w:eastAsia="en-US"/>
              </w:rPr>
              <w:suppressLineNumbers/>
            </w:pPr>
            <w:r>
              <w:rPr>
                <w:rFonts w:ascii="Times New Roman" w:hAnsi="Times New Roman" w:cs="Times New Roman"/>
                <w:sz w:val="22"/>
                <w:szCs w:val="22"/>
                <w:lang w:eastAsia="en-US"/>
              </w:rPr>
              <w:t xml:space="preserve">«___» __________ 20__ г.</w:t>
            </w:r>
            <w:r>
              <w:rPr>
                <w:rFonts w:ascii="Times New Roman" w:hAnsi="Times New Roman" w:cs="Times New Roman"/>
                <w:sz w:val="22"/>
                <w:szCs w:val="22"/>
                <w:lang w:eastAsia="en-US"/>
              </w:rPr>
            </w:r>
          </w:p>
          <w:p>
            <w:pPr>
              <w:pStyle w:val="1147"/>
              <w:ind w:left="1134" w:right="317" w:hanging="1134"/>
              <w:widowControl w:val="off"/>
              <w:tabs>
                <w:tab w:val="left" w:pos="1134" w:leader="none"/>
              </w:tabs>
              <w:rPr>
                <w:rFonts w:ascii="Times New Roman" w:hAnsi="Times New Roman" w:cs="Times New Roman"/>
                <w:sz w:val="22"/>
                <w:szCs w:val="22"/>
                <w:lang w:eastAsia="en-US"/>
              </w:rPr>
              <w:suppressLineNumbers/>
            </w:pPr>
            <w:r>
              <w:rPr>
                <w:rFonts w:ascii="Times New Roman" w:hAnsi="Times New Roman" w:cs="Times New Roman"/>
                <w:sz w:val="22"/>
                <w:szCs w:val="22"/>
                <w:lang w:eastAsia="en-US"/>
              </w:rPr>
              <w:t xml:space="preserve">М.П.</w:t>
            </w:r>
            <w:r>
              <w:rPr>
                <w:rFonts w:ascii="Times New Roman" w:hAnsi="Times New Roman" w:cs="Times New Roman"/>
                <w:sz w:val="22"/>
                <w:szCs w:val="22"/>
                <w:lang w:eastAsia="en-US"/>
              </w:rPr>
            </w:r>
          </w:p>
        </w:tc>
      </w:tr>
    </w:tbl>
    <w:p>
      <w:pPr>
        <w:spacing w:after="0" w:line="240" w:lineRule="auto"/>
        <w:widowControl w:val="off"/>
        <w:rPr>
          <w:rFonts w:ascii="Times New Roman" w:hAnsi="Times New Roman" w:cs="Times New Roman"/>
        </w:rPr>
      </w:pPr>
      <w:r>
        <w:rPr>
          <w:rFonts w:ascii="Times New Roman" w:hAnsi="Times New Roman" w:cs="Times New Roman"/>
        </w:rPr>
      </w:r>
      <w:r>
        <w:rPr>
          <w:rFonts w:ascii="Times New Roman" w:hAnsi="Times New Roman" w:cs="Times New Roman"/>
        </w:rPr>
      </w:r>
    </w:p>
    <w:p>
      <w:pPr>
        <w:spacing w:after="160" w:line="259" w:lineRule="auto"/>
        <w:rPr>
          <w:rFonts w:ascii="Times New Roman" w:hAnsi="Times New Roman" w:cs="Times New Roman"/>
        </w:rPr>
      </w:pPr>
      <w:r>
        <w:rPr>
          <w:rFonts w:ascii="Times New Roman" w:hAnsi="Times New Roman" w:cs="Times New Roman"/>
        </w:rPr>
        <w:br w:type="page" w:clear="all"/>
      </w:r>
      <w:r>
        <w:rPr>
          <w:rFonts w:ascii="Times New Roman" w:hAnsi="Times New Roman" w:cs="Times New Roman"/>
        </w:rPr>
      </w:r>
    </w:p>
    <w:p>
      <w:pPr>
        <w:ind w:left="10620" w:firstLine="11"/>
        <w:pageBreakBefore/>
        <w:spacing w:after="0" w:line="240" w:lineRule="auto"/>
        <w:widowControl w:val="off"/>
        <w:rPr>
          <w:rFonts w:ascii="Times New Roman" w:hAnsi="Times New Roman" w:cs="Times New Roman"/>
        </w:rPr>
      </w:pPr>
      <w:r>
        <w:rPr>
          <w:rFonts w:ascii="Times New Roman" w:hAnsi="Times New Roman" w:cs="Times New Roman"/>
        </w:rPr>
        <w:t xml:space="preserve">Приложение 6.5</w:t>
      </w:r>
      <w:r>
        <w:rPr>
          <w:rFonts w:ascii="Times New Roman" w:hAnsi="Times New Roman" w:cs="Times New Roman"/>
        </w:rPr>
      </w:r>
    </w:p>
    <w:p>
      <w:pPr>
        <w:ind w:left="10620" w:firstLine="12"/>
        <w:spacing w:after="0" w:line="240" w:lineRule="auto"/>
        <w:widowControl w:val="off"/>
        <w:rPr>
          <w:rFonts w:ascii="Times New Roman" w:hAnsi="Times New Roman" w:cs="Times New Roman"/>
        </w:rPr>
      </w:pPr>
      <w:r>
        <w:rPr>
          <w:rFonts w:ascii="Times New Roman" w:hAnsi="Times New Roman" w:cs="Times New Roman"/>
        </w:rPr>
        <w:t xml:space="preserve">к Договору поставки</w:t>
      </w:r>
      <w:r>
        <w:rPr>
          <w:rFonts w:ascii="Times New Roman" w:hAnsi="Times New Roman" w:cs="Times New Roman"/>
        </w:rPr>
      </w:r>
    </w:p>
    <w:p>
      <w:pPr>
        <w:ind w:left="9912" w:firstLine="708"/>
        <w:spacing w:after="0" w:line="240" w:lineRule="auto"/>
        <w:widowControl w:val="off"/>
        <w:rPr>
          <w:rFonts w:ascii="Times New Roman" w:hAnsi="Times New Roman" w:cs="Times New Roman"/>
        </w:rPr>
      </w:pPr>
      <w:r>
        <w:rPr>
          <w:rFonts w:ascii="Times New Roman" w:hAnsi="Times New Roman" w:cs="Times New Roman"/>
        </w:rPr>
        <w:t xml:space="preserve">от «___» ________ _ г. № ____</w:t>
      </w:r>
      <w:r>
        <w:rPr>
          <w:rFonts w:ascii="Times New Roman" w:hAnsi="Times New Roman" w:cs="Times New Roman"/>
        </w:rPr>
        <w:tab/>
      </w:r>
      <w:r>
        <w:rPr>
          <w:rFonts w:ascii="Times New Roman" w:hAnsi="Times New Roman" w:cs="Times New Roman"/>
        </w:rPr>
      </w:r>
    </w:p>
    <w:p>
      <w:pPr>
        <w:spacing w:after="0" w:line="240" w:lineRule="auto"/>
        <w:widowControl w:val="off"/>
        <w:rPr>
          <w:rFonts w:ascii="Times New Roman" w:hAnsi="Times New Roman" w:cs="Times New Roman"/>
          <w:lang w:val="en-US"/>
        </w:rPr>
      </w:pPr>
      <w:r>
        <w:rPr>
          <w:rFonts w:ascii="Times New Roman" w:hAnsi="Times New Roman" w:cs="Times New Roman"/>
          <w:lang w:val="en-US"/>
        </w:rPr>
      </w:r>
      <w:r>
        <w:rPr>
          <w:rFonts w:ascii="Times New Roman" w:hAnsi="Times New Roman" w:cs="Times New Roman"/>
          <w:lang w:val="en-US"/>
        </w:rPr>
      </w:r>
    </w:p>
    <w:p>
      <w:pPr>
        <w:ind w:right="-8"/>
        <w:jc w:val="center"/>
        <w:spacing w:after="0" w:line="240" w:lineRule="auto"/>
        <w:rPr>
          <w:rFonts w:ascii="Times New Roman" w:hAnsi="Times New Roman" w:cs="Times New Roman"/>
          <w:b/>
        </w:rPr>
      </w:pPr>
      <w:r>
        <w:rPr>
          <w:rFonts w:ascii="Times New Roman" w:hAnsi="Times New Roman" w:cs="Times New Roman"/>
          <w:b/>
        </w:rPr>
        <w:t xml:space="preserve">Форма</w:t>
      </w:r>
      <w:r>
        <w:rPr>
          <w:rFonts w:ascii="Times New Roman" w:hAnsi="Times New Roman" w:cs="Times New Roman"/>
          <w:b/>
        </w:rPr>
      </w:r>
    </w:p>
    <w:p>
      <w:pPr>
        <w:ind w:right="-8"/>
        <w:jc w:val="center"/>
        <w:spacing w:after="0" w:line="240" w:lineRule="auto"/>
        <w:rPr>
          <w:rFonts w:ascii="Times New Roman" w:hAnsi="Times New Roman" w:cs="Times New Roman"/>
          <w:b/>
          <w:i/>
        </w:rPr>
      </w:pPr>
      <w:r>
        <w:rPr>
          <w:rFonts w:ascii="Times New Roman" w:hAnsi="Times New Roman" w:cs="Times New Roman"/>
          <w:b/>
          <w:i/>
        </w:rPr>
        <w:t xml:space="preserve">соглашения о гарантийном депозите </w:t>
      </w:r>
      <w:r>
        <w:rPr>
          <w:rFonts w:ascii="Times New Roman" w:hAnsi="Times New Roman" w:cs="Times New Roman"/>
          <w:b/>
          <w:i/>
        </w:rPr>
      </w:r>
    </w:p>
    <w:p>
      <w:pPr>
        <w:ind w:right="-8"/>
        <w:jc w:val="center"/>
        <w:spacing w:after="0" w:line="240" w:lineRule="auto"/>
        <w:rPr>
          <w:rFonts w:ascii="Times New Roman" w:hAnsi="Times New Roman" w:cs="Times New Roman"/>
          <w:b/>
        </w:rPr>
      </w:pPr>
      <w:r>
        <w:rPr>
          <w:rFonts w:ascii="Times New Roman" w:hAnsi="Times New Roman" w:cs="Times New Roman"/>
          <w:b/>
        </w:rPr>
        <w:t xml:space="preserve">СОГЛАШЕНИЕ</w:t>
      </w:r>
      <w:r>
        <w:rPr>
          <w:rFonts w:ascii="Times New Roman" w:hAnsi="Times New Roman" w:cs="Times New Roman"/>
          <w:b/>
        </w:rPr>
      </w:r>
    </w:p>
    <w:p>
      <w:pPr>
        <w:ind w:right="-8"/>
        <w:jc w:val="center"/>
        <w:spacing w:after="0" w:line="240" w:lineRule="auto"/>
        <w:rPr>
          <w:rFonts w:ascii="Times New Roman" w:hAnsi="Times New Roman" w:cs="Times New Roman"/>
          <w:b/>
        </w:rPr>
      </w:pPr>
      <w:r>
        <w:rPr>
          <w:rFonts w:ascii="Times New Roman" w:hAnsi="Times New Roman" w:cs="Times New Roman"/>
          <w:b/>
        </w:rPr>
        <w:t xml:space="preserve">о гарантийном депозите</w:t>
      </w:r>
      <w:r>
        <w:rPr>
          <w:rFonts w:ascii="Times New Roman" w:hAnsi="Times New Roman" w:cs="Times New Roman"/>
          <w:b/>
        </w:rPr>
      </w:r>
    </w:p>
    <w:p>
      <w:pPr>
        <w:ind w:right="-8"/>
        <w:jc w:val="both"/>
        <w:spacing w:after="0" w:line="240" w:lineRule="auto"/>
        <w:rPr>
          <w:rFonts w:ascii="Times New Roman" w:hAnsi="Times New Roman" w:cs="Times New Roman"/>
          <w:b/>
        </w:rPr>
      </w:pPr>
      <w:r>
        <w:rPr>
          <w:rFonts w:ascii="Times New Roman" w:hAnsi="Times New Roman" w:cs="Times New Roman"/>
          <w:b/>
        </w:rPr>
      </w:r>
      <w:r>
        <w:rPr>
          <w:rFonts w:ascii="Times New Roman" w:hAnsi="Times New Roman" w:cs="Times New Roman"/>
          <w:b/>
        </w:rPr>
      </w:r>
    </w:p>
    <w:p>
      <w:pPr>
        <w:ind w:right="-8"/>
        <w:jc w:val="both"/>
        <w:spacing w:after="0" w:line="240" w:lineRule="auto"/>
        <w:rPr>
          <w:rFonts w:ascii="Times New Roman" w:hAnsi="Times New Roman" w:cs="Times New Roman"/>
        </w:rPr>
      </w:pPr>
      <w:r>
        <w:rPr>
          <w:rFonts w:ascii="Times New Roman" w:hAnsi="Times New Roman" w:cs="Times New Roman"/>
        </w:rPr>
      </w:r>
      <w:r>
        <w:rPr>
          <w:rFonts w:ascii="Times New Roman" w:hAnsi="Times New Roman" w:cs="Times New Roman"/>
        </w:rPr>
      </w:r>
    </w:p>
    <w:tbl>
      <w:tblPr>
        <w:tblW w:w="0" w:type="auto"/>
        <w:tblLook w:val="04A0" w:firstRow="1" w:lastRow="0" w:firstColumn="1" w:lastColumn="0" w:noHBand="0" w:noVBand="1"/>
      </w:tblPr>
      <w:tblGrid>
        <w:gridCol w:w="3190"/>
        <w:gridCol w:w="3190"/>
        <w:gridCol w:w="6928"/>
      </w:tblGrid>
      <w:tr>
        <w:tblPrEx/>
        <w:trPr/>
        <w:tc>
          <w:tcPr>
            <w:tcW w:w="3190" w:type="dxa"/>
            <w:textDirection w:val="lrTb"/>
            <w:noWrap w:val="false"/>
          </w:tcPr>
          <w:p>
            <w:pPr>
              <w:ind w:right="-8"/>
              <w:jc w:val="both"/>
              <w:spacing w:after="0" w:line="240" w:lineRule="auto"/>
              <w:rPr>
                <w:rFonts w:ascii="Times New Roman" w:hAnsi="Times New Roman" w:cs="Times New Roman"/>
              </w:rPr>
            </w:pPr>
            <w:r>
              <w:rPr>
                <w:rFonts w:ascii="Times New Roman" w:hAnsi="Times New Roman" w:cs="Times New Roman"/>
              </w:rPr>
              <w:t xml:space="preserve">г. __________</w:t>
            </w:r>
            <w:r>
              <w:rPr>
                <w:rFonts w:ascii="Times New Roman" w:hAnsi="Times New Roman" w:cs="Times New Roman"/>
              </w:rPr>
            </w:r>
          </w:p>
        </w:tc>
        <w:tc>
          <w:tcPr>
            <w:tcW w:w="3190" w:type="dxa"/>
            <w:textDirection w:val="lrTb"/>
            <w:noWrap w:val="false"/>
          </w:tcPr>
          <w:p>
            <w:pPr>
              <w:ind w:right="-8" w:firstLine="709"/>
              <w:jc w:val="both"/>
              <w:spacing w:after="0" w:line="240" w:lineRule="auto"/>
              <w:rPr>
                <w:rFonts w:ascii="Times New Roman" w:hAnsi="Times New Roman" w:cs="Times New Roman"/>
              </w:rPr>
            </w:pPr>
            <w:r>
              <w:rPr>
                <w:rFonts w:ascii="Times New Roman" w:hAnsi="Times New Roman" w:cs="Times New Roman"/>
              </w:rPr>
            </w:r>
            <w:r>
              <w:rPr>
                <w:rFonts w:ascii="Times New Roman" w:hAnsi="Times New Roman" w:cs="Times New Roman"/>
              </w:rPr>
            </w:r>
          </w:p>
        </w:tc>
        <w:tc>
          <w:tcPr>
            <w:tcW w:w="6928" w:type="dxa"/>
            <w:textDirection w:val="lrTb"/>
            <w:noWrap w:val="false"/>
          </w:tcPr>
          <w:p>
            <w:pPr>
              <w:ind w:right="-8"/>
              <w:jc w:val="both"/>
              <w:spacing w:after="0" w:line="240" w:lineRule="auto"/>
              <w:rPr>
                <w:rFonts w:ascii="Times New Roman" w:hAnsi="Times New Roman" w:cs="Times New Roman"/>
              </w:rPr>
            </w:pPr>
            <w:r>
              <w:rPr>
                <w:rFonts w:ascii="Times New Roman" w:hAnsi="Times New Roman" w:cs="Times New Roman"/>
              </w:rPr>
              <w:t xml:space="preserve">                              «_____»________ 20___г.</w:t>
            </w:r>
            <w:r>
              <w:rPr>
                <w:rFonts w:ascii="Times New Roman" w:hAnsi="Times New Roman" w:cs="Times New Roman"/>
              </w:rPr>
            </w:r>
          </w:p>
        </w:tc>
      </w:tr>
    </w:tbl>
    <w:p>
      <w:pPr>
        <w:ind w:right="-8"/>
        <w:jc w:val="both"/>
        <w:spacing w:after="0" w:line="240" w:lineRule="auto"/>
        <w:rPr>
          <w:rFonts w:ascii="Times New Roman" w:hAnsi="Times New Roman" w:cs="Times New Roman"/>
          <w:b/>
          <w:bCs/>
          <w:i/>
          <w:iCs/>
        </w:rPr>
      </w:pPr>
      <w:r>
        <w:rPr>
          <w:rFonts w:ascii="Times New Roman" w:hAnsi="Times New Roman" w:cs="Times New Roman"/>
          <w:b/>
          <w:bCs/>
          <w:i/>
          <w:iCs/>
        </w:rPr>
      </w:r>
      <w:r>
        <w:rPr>
          <w:rFonts w:ascii="Times New Roman" w:hAnsi="Times New Roman" w:cs="Times New Roman"/>
          <w:b/>
          <w:bCs/>
          <w:i/>
          <w:iCs/>
        </w:rPr>
      </w:r>
    </w:p>
    <w:p>
      <w:pPr>
        <w:ind w:firstLine="709"/>
        <w:jc w:val="both"/>
        <w:spacing w:after="0" w:line="240" w:lineRule="auto"/>
        <w:rPr>
          <w:rFonts w:ascii="Times New Roman" w:hAnsi="Times New Roman" w:cs="Times New Roman"/>
        </w:rPr>
      </w:pPr>
      <w:r>
        <w:rPr>
          <w:rFonts w:ascii="Times New Roman" w:hAnsi="Times New Roman" w:cs="Times New Roman"/>
        </w:rPr>
        <w:t xml:space="preserve">________________________, именуемое в дальнейшем «Покупатель</w:t>
      </w:r>
      <w:r>
        <w:rPr>
          <w:rFonts w:ascii="Times New Roman" w:hAnsi="Times New Roman" w:cs="Times New Roman"/>
        </w:rPr>
        <w:t xml:space="preserve">», в лице _______________________, действующего на основании __________________, с одной стороны, и ________________________, именуемое в дальнейшем «Поставщик», в лице __________________________, действующего на основании __________________, с другой стор</w:t>
      </w:r>
      <w:r>
        <w:rPr>
          <w:rFonts w:ascii="Times New Roman" w:hAnsi="Times New Roman" w:cs="Times New Roman"/>
        </w:rPr>
        <w:t xml:space="preserve">оны, именуемые в дальнейшем совместно «Стороны», в порядке п. __ приложения № ___ к Договору поставки от _____ № (далее - Договор) заключили настоящее Соглашение о нижеследующем:</w:t>
      </w:r>
      <w:r>
        <w:rPr>
          <w:rFonts w:ascii="Times New Roman" w:hAnsi="Times New Roman" w:cs="Times New Roman"/>
        </w:rPr>
      </w:r>
    </w:p>
    <w:p>
      <w:pPr>
        <w:ind w:firstLine="709"/>
        <w:jc w:val="both"/>
        <w:spacing w:after="0" w:line="240" w:lineRule="auto"/>
        <w:rPr>
          <w:rFonts w:ascii="Times New Roman" w:hAnsi="Times New Roman" w:cs="Times New Roman"/>
        </w:rPr>
      </w:pPr>
      <w:r>
        <w:rPr>
          <w:rFonts w:ascii="Times New Roman" w:hAnsi="Times New Roman" w:cs="Times New Roman"/>
        </w:rPr>
      </w:r>
      <w:r>
        <w:rPr>
          <w:rFonts w:ascii="Times New Roman" w:hAnsi="Times New Roman" w:cs="Times New Roman"/>
        </w:rPr>
      </w:r>
    </w:p>
    <w:p>
      <w:pPr>
        <w:ind w:firstLine="709"/>
        <w:jc w:val="both"/>
        <w:spacing w:after="0" w:line="240" w:lineRule="auto"/>
        <w:rPr>
          <w:rFonts w:ascii="Times New Roman" w:hAnsi="Times New Roman" w:cs="Times New Roman"/>
        </w:rPr>
      </w:pPr>
      <w:r>
        <w:rPr>
          <w:rFonts w:ascii="Times New Roman" w:hAnsi="Times New Roman" w:cs="Times New Roman"/>
        </w:rPr>
        <w:t xml:space="preserve">1. Поставщик в порядке статьи 329 Гражданского кодекса Российской Федерации </w:t>
      </w:r>
      <w:r>
        <w:rPr>
          <w:rFonts w:ascii="Times New Roman" w:hAnsi="Times New Roman" w:cs="Times New Roman"/>
        </w:rPr>
        <w:t xml:space="preserve">предоставляет Покупателю в качестве способа обеспечения обязательств по Договору и гарантийных обязательств гарантийный депозит в размере</w:t>
      </w:r>
      <w:r>
        <w:rPr>
          <w:rFonts w:ascii="Times New Roman" w:hAnsi="Times New Roman" w:cs="Times New Roman"/>
        </w:rPr>
        <w:br/>
        <w:t xml:space="preserve">10 (Десяти) процентов от цены Договора (включая НДС) на сумму ___________ (____________________) рублей на срок действ</w:t>
      </w:r>
      <w:r>
        <w:rPr>
          <w:rFonts w:ascii="Times New Roman" w:hAnsi="Times New Roman" w:cs="Times New Roman"/>
        </w:rPr>
        <w:t xml:space="preserve">ия Договора и гарантийного срока.</w:t>
      </w:r>
      <w:r>
        <w:rPr>
          <w:rFonts w:ascii="Times New Roman" w:hAnsi="Times New Roman" w:cs="Times New Roman"/>
        </w:rPr>
      </w:r>
    </w:p>
    <w:p>
      <w:pPr>
        <w:ind w:firstLine="709"/>
        <w:jc w:val="both"/>
        <w:spacing w:after="0" w:line="240" w:lineRule="auto"/>
        <w:rPr>
          <w:rFonts w:ascii="Times New Roman" w:hAnsi="Times New Roman" w:cs="Times New Roman"/>
        </w:rPr>
      </w:pPr>
      <w:r>
        <w:rPr>
          <w:rFonts w:ascii="Times New Roman" w:hAnsi="Times New Roman" w:cs="Times New Roman"/>
        </w:rPr>
        <w:t xml:space="preserve">2. Поставщик предоставляет Покупателю право на удержание части цены Договора (включая НДС), указанной в пункте 1 настоящего Соглашения, из платежей и окончательного платежа за выполненные работы Поставщиком в качестве гара</w:t>
      </w:r>
      <w:r>
        <w:rPr>
          <w:rFonts w:ascii="Times New Roman" w:hAnsi="Times New Roman" w:cs="Times New Roman"/>
        </w:rPr>
        <w:t xml:space="preserve">нтийного депозита путем резервирования названной денежной суммы на счете Покупателя:</w:t>
      </w:r>
      <w:r>
        <w:rPr>
          <w:rFonts w:ascii="Times New Roman" w:hAnsi="Times New Roman" w:cs="Times New Roman"/>
        </w:rPr>
      </w:r>
    </w:p>
    <w:p>
      <w:pPr>
        <w:ind w:firstLine="709"/>
        <w:jc w:val="both"/>
        <w:spacing w:after="0" w:line="240" w:lineRule="auto"/>
        <w:rPr>
          <w:rFonts w:ascii="Times New Roman" w:hAnsi="Times New Roman" w:cs="Times New Roman"/>
        </w:rPr>
      </w:pPr>
      <w:r>
        <w:rPr>
          <w:rFonts w:ascii="Times New Roman" w:hAnsi="Times New Roman" w:cs="Times New Roman"/>
        </w:rPr>
        <w:t xml:space="preserve">- на период исполнения договора до момента подписания Документа </w:t>
      </w:r>
      <w:r>
        <w:rPr>
          <w:rFonts w:ascii="Times New Roman" w:hAnsi="Times New Roman" w:cs="Times New Roman"/>
          <w:highlight w:val="yellow"/>
        </w:rPr>
        <w:t xml:space="preserve">о приемке товара/ </w:t>
      </w:r>
      <w:r>
        <w:rPr>
          <w:rFonts w:ascii="Times New Roman" w:hAnsi="Times New Roman" w:cs="Times New Roman"/>
          <w:i/>
          <w:highlight w:val="yellow"/>
        </w:rPr>
        <w:t xml:space="preserve">актов оказания дополнительных услуг (в случае наличия соответствующих услуг в предмете До</w:t>
      </w:r>
      <w:r>
        <w:rPr>
          <w:rFonts w:ascii="Times New Roman" w:hAnsi="Times New Roman" w:cs="Times New Roman"/>
          <w:i/>
          <w:highlight w:val="yellow"/>
        </w:rPr>
        <w:t xml:space="preserve">говора</w:t>
      </w:r>
      <w:r>
        <w:rPr>
          <w:rFonts w:ascii="Times New Roman" w:hAnsi="Times New Roman" w:cs="Times New Roman"/>
          <w:i/>
        </w:rPr>
        <w:t xml:space="preserve">)</w:t>
      </w:r>
      <w:r>
        <w:rPr>
          <w:rFonts w:ascii="Times New Roman" w:hAnsi="Times New Roman" w:cs="Times New Roman"/>
        </w:rPr>
        <w:t xml:space="preserve">;</w:t>
      </w:r>
      <w:r>
        <w:rPr>
          <w:rFonts w:ascii="Times New Roman" w:hAnsi="Times New Roman" w:cs="Times New Roman"/>
        </w:rPr>
      </w:r>
    </w:p>
    <w:p>
      <w:pPr>
        <w:ind w:firstLine="709"/>
        <w:jc w:val="both"/>
        <w:spacing w:after="0" w:line="240" w:lineRule="auto"/>
        <w:rPr>
          <w:rFonts w:ascii="Times New Roman" w:hAnsi="Times New Roman" w:cs="Times New Roman"/>
        </w:rPr>
      </w:pPr>
      <w:r>
        <w:rPr>
          <w:rFonts w:ascii="Times New Roman" w:hAnsi="Times New Roman" w:cs="Times New Roman"/>
        </w:rPr>
        <w:t xml:space="preserve">- на период исполнения Договора и гарантийной эксплуатации </w:t>
      </w:r>
      <w:r>
        <w:rPr>
          <w:rFonts w:ascii="Times New Roman" w:hAnsi="Times New Roman" w:cs="Times New Roman"/>
          <w:highlight w:val="yellow"/>
        </w:rPr>
        <w:t xml:space="preserve">товара</w:t>
      </w:r>
      <w:r>
        <w:rPr>
          <w:rFonts w:ascii="Times New Roman" w:hAnsi="Times New Roman" w:cs="Times New Roman"/>
        </w:rPr>
        <w:t xml:space="preserve"> до момента окончания гарантийного срока.</w:t>
      </w:r>
      <w:r>
        <w:rPr>
          <w:rFonts w:ascii="Times New Roman" w:hAnsi="Times New Roman" w:cs="Times New Roman"/>
        </w:rPr>
      </w:r>
    </w:p>
    <w:p>
      <w:pPr>
        <w:ind w:firstLine="709"/>
        <w:jc w:val="both"/>
        <w:spacing w:after="0" w:line="240" w:lineRule="auto"/>
        <w:rPr>
          <w:rFonts w:ascii="Times New Roman" w:hAnsi="Times New Roman" w:cs="Times New Roman"/>
        </w:rPr>
      </w:pPr>
      <w:r>
        <w:rPr>
          <w:rFonts w:ascii="Times New Roman" w:hAnsi="Times New Roman" w:cs="Times New Roman"/>
        </w:rPr>
        <w:t xml:space="preserve">3. </w:t>
      </w:r>
      <w:r>
        <w:rPr>
          <w:rFonts w:ascii="Times New Roman" w:hAnsi="Times New Roman" w:cs="Times New Roman"/>
          <w:bCs/>
        </w:rPr>
        <w:t xml:space="preserve">Оплата выполненных Поставщиком работ производится на условиях резервирования Покупателем денежной суммы в размере не менее 10% от стоимос</w:t>
      </w:r>
      <w:r>
        <w:rPr>
          <w:rFonts w:ascii="Times New Roman" w:hAnsi="Times New Roman" w:cs="Times New Roman"/>
          <w:bCs/>
        </w:rPr>
        <w:t xml:space="preserve">ти выполненных работ, услуг, поставленного оборудования, материалов до момента достижения размера сформированного гарантийного депозита суммы, равной 10% от цены договора</w:t>
      </w:r>
      <w:r>
        <w:rPr>
          <w:rFonts w:ascii="Times New Roman" w:hAnsi="Times New Roman" w:cs="Times New Roman"/>
        </w:rPr>
        <w:t xml:space="preserve">.</w:t>
      </w:r>
      <w:r>
        <w:rPr>
          <w:rFonts w:ascii="Times New Roman" w:hAnsi="Times New Roman" w:cs="Times New Roman"/>
        </w:rPr>
      </w:r>
    </w:p>
    <w:p>
      <w:pPr>
        <w:ind w:firstLine="709"/>
        <w:jc w:val="both"/>
        <w:spacing w:after="0" w:line="240" w:lineRule="auto"/>
        <w:rPr>
          <w:rFonts w:ascii="Times New Roman" w:hAnsi="Times New Roman" w:cs="Times New Roman"/>
        </w:rPr>
      </w:pPr>
      <w:r>
        <w:rPr>
          <w:rFonts w:ascii="Times New Roman" w:hAnsi="Times New Roman" w:cs="Times New Roman"/>
        </w:rPr>
        <w:t xml:space="preserve">4. Гарантийный депозит может быть использован Покупателем для покрытия расходов, свя</w:t>
      </w:r>
      <w:r>
        <w:rPr>
          <w:rFonts w:ascii="Times New Roman" w:hAnsi="Times New Roman" w:cs="Times New Roman"/>
        </w:rPr>
        <w:t xml:space="preserve">занных с ненадлежащим исполнением Поставщиком обязательств по Договору, в том числе на возмещение убытков, связанных с гарантийными обязательствами.</w:t>
      </w:r>
      <w:r>
        <w:rPr>
          <w:rFonts w:ascii="Times New Roman" w:hAnsi="Times New Roman" w:cs="Times New Roman"/>
        </w:rPr>
      </w:r>
    </w:p>
    <w:p>
      <w:pPr>
        <w:ind w:firstLine="709"/>
        <w:jc w:val="both"/>
        <w:spacing w:after="0" w:line="240" w:lineRule="auto"/>
        <w:rPr>
          <w:rFonts w:ascii="Times New Roman" w:hAnsi="Times New Roman" w:cs="Times New Roman"/>
        </w:rPr>
      </w:pPr>
      <w:r>
        <w:rPr>
          <w:rFonts w:ascii="Times New Roman" w:hAnsi="Times New Roman" w:cs="Times New Roman"/>
        </w:rPr>
        <w:t xml:space="preserve">5. Сумма списания Гарантийного депозита определяется Покупателем с учетом следующих положений:</w:t>
      </w:r>
      <w:r>
        <w:rPr>
          <w:rFonts w:ascii="Times New Roman" w:hAnsi="Times New Roman" w:cs="Times New Roman"/>
        </w:rPr>
      </w:r>
    </w:p>
    <w:p>
      <w:pPr>
        <w:ind w:firstLine="709"/>
        <w:jc w:val="both"/>
        <w:spacing w:after="0" w:line="240" w:lineRule="auto"/>
        <w:tabs>
          <w:tab w:val="left" w:pos="1276" w:leader="none"/>
        </w:tabs>
        <w:rPr>
          <w:rFonts w:ascii="Times New Roman" w:hAnsi="Times New Roman" w:cs="Times New Roman"/>
        </w:rPr>
      </w:pPr>
      <w:r>
        <w:rPr>
          <w:rFonts w:ascii="Times New Roman" w:hAnsi="Times New Roman" w:cs="Times New Roman"/>
        </w:rPr>
        <w:t xml:space="preserve">5.1.</w:t>
      </w:r>
      <w:r>
        <w:rPr>
          <w:rFonts w:ascii="Times New Roman" w:hAnsi="Times New Roman" w:cs="Times New Roman"/>
        </w:rPr>
        <w:tab/>
        <w:t xml:space="preserve">Сумма с</w:t>
      </w:r>
      <w:r>
        <w:rPr>
          <w:rFonts w:ascii="Times New Roman" w:hAnsi="Times New Roman" w:cs="Times New Roman"/>
        </w:rPr>
        <w:t xml:space="preserve">писания Гарантийного депозита должна соответствовать минимальной из следующих двух величин:</w:t>
      </w:r>
      <w:r>
        <w:rPr>
          <w:rFonts w:ascii="Times New Roman" w:hAnsi="Times New Roman" w:cs="Times New Roman"/>
        </w:rPr>
      </w:r>
    </w:p>
    <w:p>
      <w:pPr>
        <w:ind w:firstLine="709"/>
        <w:jc w:val="both"/>
        <w:spacing w:after="0" w:line="240" w:lineRule="auto"/>
        <w:tabs>
          <w:tab w:val="left" w:pos="993" w:leader="none"/>
        </w:tabs>
        <w:rPr>
          <w:rFonts w:ascii="Times New Roman" w:hAnsi="Times New Roman" w:cs="Times New Roman"/>
        </w:rPr>
      </w:pPr>
      <w:r>
        <w:rPr>
          <w:rFonts w:ascii="Times New Roman" w:hAnsi="Times New Roman" w:cs="Times New Roman"/>
        </w:rPr>
        <w:t xml:space="preserve">•</w:t>
      </w:r>
      <w:r>
        <w:rPr>
          <w:rFonts w:ascii="Times New Roman" w:hAnsi="Times New Roman" w:cs="Times New Roman"/>
        </w:rPr>
        <w:tab/>
        <w:t xml:space="preserve">суммы неисполненных денежных обязательств Поставщика перед Покупателем, рассчитанной в соответствии с пп. 5.2-5.4 настоящего Соглашения;</w:t>
      </w:r>
      <w:r>
        <w:rPr>
          <w:rFonts w:ascii="Times New Roman" w:hAnsi="Times New Roman" w:cs="Times New Roman"/>
        </w:rPr>
      </w:r>
    </w:p>
    <w:p>
      <w:pPr>
        <w:ind w:firstLine="709"/>
        <w:jc w:val="both"/>
        <w:spacing w:after="0" w:line="240" w:lineRule="auto"/>
        <w:tabs>
          <w:tab w:val="left" w:pos="993" w:leader="none"/>
        </w:tabs>
        <w:rPr>
          <w:rFonts w:ascii="Times New Roman" w:hAnsi="Times New Roman" w:cs="Times New Roman"/>
        </w:rPr>
      </w:pPr>
      <w:r>
        <w:rPr>
          <w:rFonts w:ascii="Times New Roman" w:hAnsi="Times New Roman" w:cs="Times New Roman"/>
        </w:rPr>
        <w:t xml:space="preserve">•</w:t>
      </w:r>
      <w:r>
        <w:rPr>
          <w:rFonts w:ascii="Times New Roman" w:hAnsi="Times New Roman" w:cs="Times New Roman"/>
        </w:rPr>
        <w:tab/>
        <w:t xml:space="preserve">размера Гарантийного де</w:t>
      </w:r>
      <w:r>
        <w:rPr>
          <w:rFonts w:ascii="Times New Roman" w:hAnsi="Times New Roman" w:cs="Times New Roman"/>
        </w:rPr>
        <w:t xml:space="preserve">позита.</w:t>
      </w:r>
      <w:r>
        <w:rPr>
          <w:rFonts w:ascii="Times New Roman" w:hAnsi="Times New Roman" w:cs="Times New Roman"/>
        </w:rPr>
      </w:r>
    </w:p>
    <w:p>
      <w:pPr>
        <w:ind w:firstLine="709"/>
        <w:jc w:val="both"/>
        <w:spacing w:after="0" w:line="240" w:lineRule="auto"/>
        <w:tabs>
          <w:tab w:val="left" w:pos="1276" w:leader="none"/>
        </w:tabs>
        <w:rPr>
          <w:rFonts w:ascii="Times New Roman" w:hAnsi="Times New Roman" w:cs="Times New Roman"/>
        </w:rPr>
      </w:pPr>
      <w:r>
        <w:rPr>
          <w:rFonts w:ascii="Times New Roman" w:hAnsi="Times New Roman" w:cs="Times New Roman"/>
        </w:rPr>
        <w:t xml:space="preserve">5.2.</w:t>
      </w:r>
      <w:r>
        <w:rPr>
          <w:rFonts w:ascii="Times New Roman" w:hAnsi="Times New Roman" w:cs="Times New Roman"/>
        </w:rPr>
        <w:tab/>
        <w:t xml:space="preserve">Для Гарантийного депозита, предоставляемого в целях обеспечения обязательств Поставщика, в случае если Договором предусмотрена авансовая форма расчетов суммой неисполненных денежных обязательств Поставщика перед Покупателем является непогашенн</w:t>
      </w:r>
      <w:r>
        <w:rPr>
          <w:rFonts w:ascii="Times New Roman" w:hAnsi="Times New Roman" w:cs="Times New Roman"/>
        </w:rPr>
        <w:t xml:space="preserve">ая сумма авансового платежа.</w:t>
      </w:r>
      <w:r>
        <w:rPr>
          <w:rFonts w:ascii="Times New Roman" w:hAnsi="Times New Roman" w:cs="Times New Roman"/>
        </w:rPr>
      </w:r>
    </w:p>
    <w:p>
      <w:pPr>
        <w:ind w:firstLine="709"/>
        <w:jc w:val="both"/>
        <w:spacing w:after="0" w:line="240" w:lineRule="auto"/>
        <w:tabs>
          <w:tab w:val="left" w:pos="1276" w:leader="none"/>
        </w:tabs>
        <w:rPr>
          <w:rFonts w:ascii="Times New Roman" w:hAnsi="Times New Roman" w:cs="Times New Roman"/>
        </w:rPr>
      </w:pPr>
      <w:r>
        <w:rPr>
          <w:rFonts w:ascii="Times New Roman" w:hAnsi="Times New Roman" w:cs="Times New Roman"/>
        </w:rPr>
        <w:t xml:space="preserve">5.3.</w:t>
      </w:r>
      <w:r>
        <w:rPr>
          <w:rFonts w:ascii="Times New Roman" w:hAnsi="Times New Roman" w:cs="Times New Roman"/>
        </w:rPr>
        <w:tab/>
        <w:t xml:space="preserve">Для Гарантийного депозита, предоставляемого в качестве обеспечения исполнения Поставщиком обязательств по Договору, сумма неисполненных денежных обязательств Поставщика перед Покупателем определяется с учетом:</w:t>
      </w:r>
      <w:r>
        <w:rPr>
          <w:rFonts w:ascii="Times New Roman" w:hAnsi="Times New Roman" w:cs="Times New Roman"/>
        </w:rPr>
      </w:r>
    </w:p>
    <w:p>
      <w:pPr>
        <w:ind w:firstLine="709"/>
        <w:jc w:val="both"/>
        <w:spacing w:after="0" w:line="240" w:lineRule="auto"/>
        <w:tabs>
          <w:tab w:val="left" w:pos="993" w:leader="none"/>
        </w:tabs>
        <w:rPr>
          <w:rFonts w:ascii="Times New Roman" w:hAnsi="Times New Roman" w:cs="Times New Roman"/>
        </w:rPr>
      </w:pPr>
      <w:r>
        <w:rPr>
          <w:rFonts w:ascii="Times New Roman" w:hAnsi="Times New Roman" w:cs="Times New Roman"/>
        </w:rPr>
        <w:t xml:space="preserve">•</w:t>
      </w:r>
      <w:r>
        <w:rPr>
          <w:rFonts w:ascii="Times New Roman" w:hAnsi="Times New Roman" w:cs="Times New Roman"/>
        </w:rPr>
        <w:tab/>
        <w:t xml:space="preserve">суммы выст</w:t>
      </w:r>
      <w:r>
        <w:rPr>
          <w:rFonts w:ascii="Times New Roman" w:hAnsi="Times New Roman" w:cs="Times New Roman"/>
        </w:rPr>
        <w:t xml:space="preserve">авленных Поставщику и неоплаченных претензий (кроме претензий, отозванных Покупателем);</w:t>
      </w:r>
      <w:r>
        <w:rPr>
          <w:rFonts w:ascii="Times New Roman" w:hAnsi="Times New Roman" w:cs="Times New Roman"/>
        </w:rPr>
      </w:r>
    </w:p>
    <w:p>
      <w:pPr>
        <w:ind w:firstLine="709"/>
        <w:jc w:val="both"/>
        <w:spacing w:after="0" w:line="240" w:lineRule="auto"/>
        <w:tabs>
          <w:tab w:val="left" w:pos="993" w:leader="none"/>
        </w:tabs>
        <w:rPr>
          <w:rFonts w:ascii="Times New Roman" w:hAnsi="Times New Roman" w:cs="Times New Roman"/>
        </w:rPr>
      </w:pPr>
      <w:r>
        <w:rPr>
          <w:rFonts w:ascii="Times New Roman" w:hAnsi="Times New Roman" w:cs="Times New Roman"/>
        </w:rPr>
        <w:t xml:space="preserve">•</w:t>
      </w:r>
      <w:r>
        <w:rPr>
          <w:rFonts w:ascii="Times New Roman" w:hAnsi="Times New Roman" w:cs="Times New Roman"/>
        </w:rPr>
        <w:tab/>
        <w:t xml:space="preserve">суммы неустойки (сверх суммы, уже учтенной в выставленных претензиях), на взыскание которой Покупатель имеет право на основании Договора либо закона;</w:t>
      </w:r>
      <w:r>
        <w:rPr>
          <w:rFonts w:ascii="Times New Roman" w:hAnsi="Times New Roman" w:cs="Times New Roman"/>
        </w:rPr>
      </w:r>
    </w:p>
    <w:p>
      <w:pPr>
        <w:ind w:firstLine="709"/>
        <w:jc w:val="both"/>
        <w:spacing w:after="0" w:line="240" w:lineRule="auto"/>
        <w:tabs>
          <w:tab w:val="left" w:pos="993" w:leader="none"/>
        </w:tabs>
        <w:rPr>
          <w:rFonts w:ascii="Times New Roman" w:hAnsi="Times New Roman" w:cs="Times New Roman"/>
        </w:rPr>
      </w:pPr>
      <w:r>
        <w:rPr>
          <w:rFonts w:ascii="Times New Roman" w:hAnsi="Times New Roman" w:cs="Times New Roman"/>
        </w:rPr>
        <w:t xml:space="preserve">•</w:t>
      </w:r>
      <w:r>
        <w:rPr>
          <w:rFonts w:ascii="Times New Roman" w:hAnsi="Times New Roman" w:cs="Times New Roman"/>
        </w:rPr>
        <w:tab/>
      </w:r>
      <w:r>
        <w:rPr>
          <w:rFonts w:ascii="Times New Roman" w:hAnsi="Times New Roman" w:cs="Times New Roman"/>
        </w:rPr>
        <w:t xml:space="preserve">суммы возмещения расходов (сверх суммы, уже оплаченной Поставщиком либо учтенной в выставленных претензиях), которые понес Покупатель в связи с неисполнением Поставщиком обязательств по Договору;</w:t>
      </w:r>
      <w:r>
        <w:rPr>
          <w:rFonts w:ascii="Times New Roman" w:hAnsi="Times New Roman" w:cs="Times New Roman"/>
        </w:rPr>
      </w:r>
    </w:p>
    <w:p>
      <w:pPr>
        <w:ind w:firstLine="709"/>
        <w:jc w:val="both"/>
        <w:spacing w:after="0" w:line="240" w:lineRule="auto"/>
        <w:tabs>
          <w:tab w:val="left" w:pos="993" w:leader="none"/>
        </w:tabs>
        <w:rPr>
          <w:rFonts w:ascii="Times New Roman" w:hAnsi="Times New Roman" w:cs="Times New Roman"/>
        </w:rPr>
      </w:pPr>
      <w:r>
        <w:rPr>
          <w:rFonts w:ascii="Times New Roman" w:hAnsi="Times New Roman" w:cs="Times New Roman"/>
        </w:rPr>
        <w:t xml:space="preserve">•</w:t>
      </w:r>
      <w:r>
        <w:rPr>
          <w:rFonts w:ascii="Times New Roman" w:hAnsi="Times New Roman" w:cs="Times New Roman"/>
        </w:rPr>
        <w:tab/>
        <w:t xml:space="preserve">суммы возмещения убытков (сверх суммы, уже оплаченной Пост</w:t>
      </w:r>
      <w:r>
        <w:rPr>
          <w:rFonts w:ascii="Times New Roman" w:hAnsi="Times New Roman" w:cs="Times New Roman"/>
        </w:rPr>
        <w:t xml:space="preserve">авщиком либо учтенной в выставленных претензиях), причиненных неисполнением Поставщиком обязательств по Договору;</w:t>
      </w:r>
      <w:r>
        <w:rPr>
          <w:rFonts w:ascii="Times New Roman" w:hAnsi="Times New Roman" w:cs="Times New Roman"/>
        </w:rPr>
      </w:r>
    </w:p>
    <w:p>
      <w:pPr>
        <w:ind w:firstLine="709"/>
        <w:jc w:val="both"/>
        <w:spacing w:after="0" w:line="240" w:lineRule="auto"/>
        <w:tabs>
          <w:tab w:val="left" w:pos="993" w:leader="none"/>
        </w:tabs>
        <w:rPr>
          <w:rFonts w:ascii="Times New Roman" w:hAnsi="Times New Roman" w:cs="Times New Roman"/>
        </w:rPr>
      </w:pPr>
      <w:r>
        <w:rPr>
          <w:rFonts w:ascii="Times New Roman" w:hAnsi="Times New Roman" w:cs="Times New Roman"/>
        </w:rPr>
        <w:t xml:space="preserve">•</w:t>
      </w:r>
      <w:r>
        <w:rPr>
          <w:rFonts w:ascii="Times New Roman" w:hAnsi="Times New Roman" w:cs="Times New Roman"/>
        </w:rPr>
        <w:tab/>
        <w:t xml:space="preserve">процентов за неправомерное пользование денежными средствами Покупателя (сверх суммы, уже оплаченной Поставщиком либо учтенной в выставленных</w:t>
      </w:r>
      <w:r>
        <w:rPr>
          <w:rFonts w:ascii="Times New Roman" w:hAnsi="Times New Roman" w:cs="Times New Roman"/>
        </w:rPr>
        <w:t xml:space="preserve"> претензиях);</w:t>
      </w:r>
      <w:r>
        <w:rPr>
          <w:rFonts w:ascii="Times New Roman" w:hAnsi="Times New Roman" w:cs="Times New Roman"/>
        </w:rPr>
      </w:r>
    </w:p>
    <w:p>
      <w:pPr>
        <w:ind w:firstLine="709"/>
        <w:jc w:val="both"/>
        <w:spacing w:after="0" w:line="240" w:lineRule="auto"/>
        <w:tabs>
          <w:tab w:val="left" w:pos="993" w:leader="none"/>
        </w:tabs>
        <w:rPr>
          <w:rFonts w:ascii="Times New Roman" w:hAnsi="Times New Roman" w:cs="Times New Roman"/>
        </w:rPr>
      </w:pPr>
      <w:r>
        <w:rPr>
          <w:rFonts w:ascii="Times New Roman" w:hAnsi="Times New Roman" w:cs="Times New Roman"/>
        </w:rPr>
        <w:t xml:space="preserve">•</w:t>
      </w:r>
      <w:r>
        <w:rPr>
          <w:rFonts w:ascii="Times New Roman" w:hAnsi="Times New Roman" w:cs="Times New Roman"/>
        </w:rPr>
        <w:tab/>
        <w:t xml:space="preserve">подлежащей оплате задолженности Поставщика перед Покупателем (сверх суммы, уже оплаченной Поставщиком либо учтенной в выставленных претензиях), возникшей в связи с выплатой аванса (в части, непокрытой независимой гарантией на возврат авансо</w:t>
      </w:r>
      <w:r>
        <w:rPr>
          <w:rFonts w:ascii="Times New Roman" w:hAnsi="Times New Roman" w:cs="Times New Roman"/>
        </w:rPr>
        <w:t xml:space="preserve">вых платежей по Договору) либо в связи с произошедшей переплатой по Договору в пользу Поставщика;</w:t>
      </w:r>
      <w:r>
        <w:rPr>
          <w:rFonts w:ascii="Times New Roman" w:hAnsi="Times New Roman" w:cs="Times New Roman"/>
        </w:rPr>
      </w:r>
    </w:p>
    <w:p>
      <w:pPr>
        <w:ind w:firstLine="709"/>
        <w:jc w:val="both"/>
        <w:spacing w:after="0" w:line="240" w:lineRule="auto"/>
        <w:tabs>
          <w:tab w:val="left" w:pos="993" w:leader="none"/>
        </w:tabs>
        <w:rPr>
          <w:rFonts w:ascii="Times New Roman" w:hAnsi="Times New Roman" w:cs="Times New Roman"/>
        </w:rPr>
      </w:pPr>
      <w:r>
        <w:rPr>
          <w:rFonts w:ascii="Times New Roman" w:hAnsi="Times New Roman" w:cs="Times New Roman"/>
        </w:rPr>
        <w:t xml:space="preserve">•</w:t>
      </w:r>
      <w:r>
        <w:rPr>
          <w:rFonts w:ascii="Times New Roman" w:hAnsi="Times New Roman" w:cs="Times New Roman"/>
        </w:rPr>
        <w:tab/>
        <w:t xml:space="preserve">иных подлежащих оплате и неисполненных обязательств Поставщика перед Покупателем (сверх суммы, уже учтенной в выставленных претензиях).</w:t>
      </w:r>
      <w:r>
        <w:rPr>
          <w:rFonts w:ascii="Times New Roman" w:hAnsi="Times New Roman" w:cs="Times New Roman"/>
        </w:rPr>
      </w:r>
    </w:p>
    <w:p>
      <w:pPr>
        <w:ind w:firstLine="709"/>
        <w:jc w:val="both"/>
        <w:spacing w:after="0" w:line="240" w:lineRule="auto"/>
        <w:tabs>
          <w:tab w:val="left" w:pos="993" w:leader="none"/>
        </w:tabs>
        <w:rPr>
          <w:rFonts w:ascii="Times New Roman" w:hAnsi="Times New Roman" w:cs="Times New Roman"/>
        </w:rPr>
      </w:pPr>
      <w:r>
        <w:rPr>
          <w:rFonts w:ascii="Times New Roman" w:hAnsi="Times New Roman" w:cs="Times New Roman"/>
          <w:bCs/>
        </w:rPr>
        <w:t xml:space="preserve">5.4. Для гарантийног</w:t>
      </w:r>
      <w:r>
        <w:rPr>
          <w:rFonts w:ascii="Times New Roman" w:hAnsi="Times New Roman" w:cs="Times New Roman"/>
          <w:bCs/>
        </w:rPr>
        <w:t xml:space="preserve">о депозита, предоставляемого в качестве обеспечения гарантийных обязательств, сумма неисполненных денежных обязательств Поставщика перед Покупателем определяется по аналогии с порядком, предусмотренным п. 5.3 настоящего Соглашения, при этом в расчет приним</w:t>
      </w:r>
      <w:r>
        <w:rPr>
          <w:rFonts w:ascii="Times New Roman" w:hAnsi="Times New Roman" w:cs="Times New Roman"/>
          <w:bCs/>
        </w:rPr>
        <w:t xml:space="preserve">аются только суммы задолженности, возникшие в связи с неисполнением Поставщиком обязательств перед Покупателем в течение гарантийного срока по договору.</w:t>
      </w:r>
      <w:r>
        <w:rPr>
          <w:rFonts w:ascii="Times New Roman" w:hAnsi="Times New Roman" w:cs="Times New Roman"/>
        </w:rPr>
      </w:r>
    </w:p>
    <w:p>
      <w:pPr>
        <w:ind w:firstLine="709"/>
        <w:jc w:val="both"/>
        <w:spacing w:after="0" w:line="240" w:lineRule="auto"/>
        <w:rPr>
          <w:rFonts w:ascii="Times New Roman" w:hAnsi="Times New Roman" w:cs="Times New Roman"/>
        </w:rPr>
      </w:pPr>
      <w:r>
        <w:rPr>
          <w:rFonts w:ascii="Times New Roman" w:hAnsi="Times New Roman" w:cs="Times New Roman"/>
        </w:rPr>
        <w:t xml:space="preserve">6. </w:t>
      </w:r>
      <w:r>
        <w:rPr>
          <w:rFonts w:ascii="Times New Roman" w:hAnsi="Times New Roman" w:cs="Times New Roman"/>
          <w:highlight w:val="yellow"/>
        </w:rPr>
        <w:t xml:space="preserve">До полной приемки всего объема поставки и оказания всех услуг</w:t>
      </w:r>
      <w:r>
        <w:rPr>
          <w:rFonts w:ascii="Times New Roman" w:hAnsi="Times New Roman" w:cs="Times New Roman"/>
          <w:i/>
          <w:highlight w:val="yellow"/>
        </w:rPr>
        <w:t xml:space="preserve"> (в случае наличия сопутствующих услуг </w:t>
      </w:r>
      <w:r>
        <w:rPr>
          <w:rFonts w:ascii="Times New Roman" w:hAnsi="Times New Roman" w:cs="Times New Roman"/>
          <w:i/>
          <w:highlight w:val="yellow"/>
        </w:rPr>
        <w:t xml:space="preserve">в предмете Договора)</w:t>
      </w:r>
      <w:r>
        <w:rPr>
          <w:rFonts w:ascii="Times New Roman" w:hAnsi="Times New Roman" w:cs="Times New Roman"/>
          <w:bCs/>
          <w:highlight w:val="yellow"/>
        </w:rPr>
        <w:t xml:space="preserve"> </w:t>
      </w:r>
      <w:r>
        <w:rPr>
          <w:rFonts w:ascii="Times New Roman" w:hAnsi="Times New Roman" w:cs="Times New Roman"/>
          <w:highlight w:val="yellow"/>
        </w:rPr>
        <w:t xml:space="preserve">по Договору, поставленный товар и оказанные услуги оплачиваются лишь в размере их стоимости за вычетом размера установленного гарантийного депозита.</w:t>
      </w:r>
      <w:r>
        <w:rPr>
          <w:rFonts w:ascii="Times New Roman" w:hAnsi="Times New Roman" w:cs="Times New Roman"/>
        </w:rPr>
        <w:t xml:space="preserve"> </w:t>
      </w:r>
      <w:r>
        <w:rPr>
          <w:rFonts w:ascii="Times New Roman" w:hAnsi="Times New Roman" w:cs="Times New Roman"/>
        </w:rPr>
      </w:r>
    </w:p>
    <w:p>
      <w:pPr>
        <w:ind w:firstLine="709"/>
        <w:jc w:val="both"/>
        <w:spacing w:after="0" w:line="240" w:lineRule="auto"/>
        <w:rPr>
          <w:rFonts w:ascii="Times New Roman" w:hAnsi="Times New Roman" w:cs="Times New Roman"/>
          <w:highlight w:val="yellow"/>
        </w:rPr>
      </w:pPr>
      <w:r>
        <w:rPr>
          <w:rFonts w:ascii="Times New Roman" w:hAnsi="Times New Roman" w:cs="Times New Roman"/>
          <w:highlight w:val="yellow"/>
        </w:rPr>
        <w:t xml:space="preserve">Выплата гарантийного депозита Поставщику до полной поставки всего товара и оказания в</w:t>
      </w:r>
      <w:r>
        <w:rPr>
          <w:rFonts w:ascii="Times New Roman" w:hAnsi="Times New Roman" w:cs="Times New Roman"/>
          <w:highlight w:val="yellow"/>
        </w:rPr>
        <w:t xml:space="preserve">сех услуг до подписания Документа о приемке товара (в случае если Договором предусмотрена разовая приемка товара и в Договоре отсутствуют дополнительные услуги), а не отдельных его партий, не допускается.</w:t>
      </w:r>
      <w:r>
        <w:rPr>
          <w:rFonts w:ascii="Times New Roman" w:hAnsi="Times New Roman" w:cs="Times New Roman"/>
          <w:highlight w:val="yellow"/>
        </w:rPr>
      </w:r>
    </w:p>
    <w:p>
      <w:pPr>
        <w:ind w:firstLine="709"/>
        <w:jc w:val="both"/>
        <w:spacing w:after="0" w:line="240" w:lineRule="auto"/>
        <w:rPr>
          <w:rFonts w:ascii="Times New Roman" w:hAnsi="Times New Roman" w:cs="Times New Roman"/>
        </w:rPr>
      </w:pPr>
      <w:r>
        <w:rPr>
          <w:rFonts w:ascii="Times New Roman" w:hAnsi="Times New Roman" w:cs="Times New Roman"/>
          <w:highlight w:val="yellow"/>
        </w:rPr>
        <w:t xml:space="preserve">Досрочная выплата гарантийного депозита до наступле</w:t>
      </w:r>
      <w:r>
        <w:rPr>
          <w:rFonts w:ascii="Times New Roman" w:hAnsi="Times New Roman" w:cs="Times New Roman"/>
          <w:highlight w:val="yellow"/>
        </w:rPr>
        <w:t xml:space="preserve">ния указанных в настоящем пункте обстоятельств не допускается, за исключением случаев предоставления Поставщиком взамен обеспечения в форме гарантийного депозита иного способа обеспечения исполнения обязательств, удовлетворяющего требованиям настоящего Дог</w:t>
      </w:r>
      <w:r>
        <w:rPr>
          <w:rFonts w:ascii="Times New Roman" w:hAnsi="Times New Roman" w:cs="Times New Roman"/>
          <w:highlight w:val="yellow"/>
        </w:rPr>
        <w:t xml:space="preserve">овора.</w:t>
      </w:r>
      <w:r>
        <w:rPr>
          <w:rFonts w:ascii="Times New Roman" w:hAnsi="Times New Roman" w:cs="Times New Roman"/>
        </w:rPr>
      </w:r>
    </w:p>
    <w:p>
      <w:pPr>
        <w:ind w:firstLine="709"/>
        <w:jc w:val="both"/>
        <w:spacing w:after="0" w:line="240" w:lineRule="auto"/>
        <w:rPr>
          <w:rFonts w:ascii="Times New Roman" w:hAnsi="Times New Roman" w:cs="Times New Roman"/>
        </w:rPr>
      </w:pPr>
      <w:r>
        <w:rPr>
          <w:rFonts w:ascii="Times New Roman" w:hAnsi="Times New Roman" w:cs="Times New Roman"/>
        </w:rPr>
        <w:t xml:space="preserve">7. Выплата гарантийного депозита, предоставленного Поставщиком на период исполнения Договора и гарантийной эксплуатации товара, за вычетом средств, использованных Покупателем для возмещения своих убытков, связанных с нарушением Поставщиком условий Д</w:t>
      </w:r>
      <w:r>
        <w:rPr>
          <w:rFonts w:ascii="Times New Roman" w:hAnsi="Times New Roman" w:cs="Times New Roman"/>
        </w:rPr>
        <w:t xml:space="preserve">оговора, производится в следующем порядке:</w:t>
      </w:r>
      <w:r>
        <w:rPr>
          <w:rFonts w:ascii="Times New Roman" w:hAnsi="Times New Roman" w:cs="Times New Roman"/>
        </w:rPr>
      </w:r>
    </w:p>
    <w:p>
      <w:pPr>
        <w:pStyle w:val="1350"/>
        <w:ind w:firstLine="709"/>
        <w:jc w:val="both"/>
        <w:spacing w:before="0" w:after="0" w:line="240" w:lineRule="auto"/>
        <w:widowControl w:val="off"/>
        <w:tabs>
          <w:tab w:val="left" w:pos="851" w:leader="none"/>
        </w:tabs>
        <w:rPr>
          <w:rFonts w:cs="Times New Roman"/>
          <w:sz w:val="22"/>
          <w:szCs w:val="22"/>
          <w:highlight w:val="yellow"/>
        </w:rPr>
        <w:pBdr>
          <w:top w:val="none" w:color="000000" w:sz="0" w:space="0"/>
          <w:left w:val="none" w:color="000000" w:sz="0" w:space="0"/>
          <w:bottom w:val="none" w:color="000000" w:sz="0" w:space="0"/>
          <w:right w:val="none" w:color="000000" w:sz="0" w:space="0"/>
          <w:between w:val="none" w:color="000000" w:sz="0" w:space="0"/>
        </w:pBdr>
      </w:pPr>
      <w:r>
        <w:rPr>
          <w:rFonts w:cs="Times New Roman"/>
          <w:b w:val="0"/>
          <w:sz w:val="22"/>
          <w:szCs w:val="22"/>
          <w:highlight w:val="yellow"/>
        </w:rPr>
        <w:t xml:space="preserve">- 50% от суммы гарантийного депозита в течение 30 дней с даты подписания последнего Документа о приемке товара </w:t>
      </w:r>
      <w:r>
        <w:rPr>
          <w:rFonts w:cs="Times New Roman"/>
          <w:b w:val="0"/>
          <w:i/>
          <w:sz w:val="22"/>
          <w:szCs w:val="22"/>
          <w:highlight w:val="yellow"/>
        </w:rPr>
        <w:t xml:space="preserve">/ актов оказания дополнительных услуг (в случае наличия соответствующих услуг в предмете Договора)</w:t>
      </w:r>
      <w:r>
        <w:rPr>
          <w:rFonts w:cs="Times New Roman"/>
          <w:b w:val="0"/>
          <w:sz w:val="22"/>
          <w:szCs w:val="22"/>
          <w:highlight w:val="yellow"/>
        </w:rPr>
        <w:t xml:space="preserve"> (но</w:t>
      </w:r>
      <w:r>
        <w:rPr>
          <w:rFonts w:cs="Times New Roman"/>
          <w:b w:val="0"/>
          <w:sz w:val="22"/>
          <w:szCs w:val="22"/>
          <w:highlight w:val="yellow"/>
        </w:rPr>
        <w:t xml:space="preserve"> не более 5 процентов от стоимости поставки);</w:t>
      </w:r>
      <w:r>
        <w:rPr>
          <w:rFonts w:cs="Times New Roman"/>
          <w:sz w:val="22"/>
          <w:szCs w:val="22"/>
          <w:highlight w:val="yellow"/>
        </w:rPr>
      </w:r>
    </w:p>
    <w:p>
      <w:pPr>
        <w:ind w:firstLine="709"/>
        <w:jc w:val="both"/>
        <w:spacing w:after="0" w:line="240" w:lineRule="auto"/>
        <w:rPr>
          <w:rFonts w:ascii="Times New Roman" w:hAnsi="Times New Roman" w:cs="Times New Roman"/>
        </w:rPr>
      </w:pPr>
      <w:r>
        <w:rPr>
          <w:rFonts w:ascii="Times New Roman" w:hAnsi="Times New Roman" w:cs="Times New Roman"/>
          <w:highlight w:val="yellow"/>
        </w:rPr>
        <w:t xml:space="preserve">- 50% от суммы гарантийного депозита в течение 30 дней после окончания гарантийного срока и подписания сторонами протокола об отсутствии взаимных претензий.</w:t>
      </w:r>
      <w:r>
        <w:rPr>
          <w:rFonts w:ascii="Times New Roman" w:hAnsi="Times New Roman" w:cs="Times New Roman"/>
        </w:rPr>
      </w:r>
    </w:p>
    <w:p>
      <w:pPr>
        <w:ind w:firstLine="709"/>
        <w:jc w:val="both"/>
        <w:spacing w:after="0" w:line="240" w:lineRule="auto"/>
        <w:rPr>
          <w:rFonts w:ascii="Times New Roman" w:hAnsi="Times New Roman" w:cs="Times New Roman"/>
        </w:rPr>
      </w:pPr>
      <w:r>
        <w:rPr>
          <w:rFonts w:ascii="Times New Roman" w:hAnsi="Times New Roman" w:cs="Times New Roman"/>
        </w:rPr>
        <w:t xml:space="preserve">8. При расторжении (прекращении) Договора в случае не</w:t>
      </w:r>
      <w:r>
        <w:rPr>
          <w:rFonts w:ascii="Times New Roman" w:hAnsi="Times New Roman" w:cs="Times New Roman"/>
        </w:rPr>
        <w:t xml:space="preserve">выполнения Поставщиком работ в сроки и/или с ненадлежащим качеством, предусмотренные Договором, гарантийный депозит не подлежит выплате Поставщику, а стоимость выполненных работ в этом случае определяется в виде разницы между стоимостью выполненных работ и</w:t>
      </w:r>
      <w:r>
        <w:rPr>
          <w:rFonts w:ascii="Times New Roman" w:hAnsi="Times New Roman" w:cs="Times New Roman"/>
        </w:rPr>
        <w:t xml:space="preserve"> суммой в размере 100% (сто процентов) сформированного на момент расторжения (прекращения) Договора гарантийного депозита.</w:t>
      </w:r>
      <w:r>
        <w:rPr>
          <w:rFonts w:ascii="Times New Roman" w:hAnsi="Times New Roman" w:cs="Times New Roman"/>
        </w:rPr>
      </w:r>
    </w:p>
    <w:p>
      <w:pPr>
        <w:ind w:firstLine="709"/>
        <w:jc w:val="both"/>
        <w:spacing w:after="0" w:line="240" w:lineRule="auto"/>
        <w:rPr>
          <w:rFonts w:ascii="Times New Roman" w:hAnsi="Times New Roman" w:cs="Times New Roman"/>
        </w:rPr>
      </w:pPr>
      <w:r>
        <w:rPr>
          <w:rFonts w:ascii="Times New Roman" w:hAnsi="Times New Roman" w:cs="Times New Roman"/>
        </w:rPr>
        <w:t xml:space="preserve">9. Стороны установили, что на сумму гарантийного депозита начисление процентов не осуществляется.</w:t>
      </w:r>
      <w:r>
        <w:rPr>
          <w:rFonts w:ascii="Times New Roman" w:hAnsi="Times New Roman" w:cs="Times New Roman"/>
        </w:rPr>
      </w:r>
    </w:p>
    <w:p>
      <w:pPr>
        <w:ind w:right="-8" w:firstLine="540"/>
        <w:jc w:val="both"/>
        <w:spacing w:after="0" w:line="240" w:lineRule="auto"/>
        <w:rPr>
          <w:rFonts w:ascii="Times New Roman" w:hAnsi="Times New Roman" w:cs="Times New Roman"/>
        </w:rPr>
      </w:pPr>
      <w:r>
        <w:rPr>
          <w:rFonts w:ascii="Times New Roman" w:hAnsi="Times New Roman" w:cs="Times New Roman"/>
        </w:rPr>
      </w:r>
      <w:r>
        <w:rPr>
          <w:rFonts w:ascii="Times New Roman" w:hAnsi="Times New Roman" w:cs="Times New Roman"/>
        </w:rPr>
      </w:r>
    </w:p>
    <w:tbl>
      <w:tblPr>
        <w:tblpPr w:horzAnchor="margin" w:tblpXSpec="left" w:vertAnchor="text" w:tblpY="87" w:leftFromText="180" w:topFromText="0" w:rightFromText="180" w:bottomFromText="0"/>
        <w:tblW w:w="0" w:type="auto"/>
        <w:tblLayout w:type="fixed"/>
        <w:tblLook w:val="01E0" w:firstRow="1" w:lastRow="1" w:firstColumn="1" w:lastColumn="1" w:noHBand="0" w:noVBand="0"/>
      </w:tblPr>
      <w:tblGrid>
        <w:gridCol w:w="7938"/>
        <w:gridCol w:w="4617"/>
      </w:tblGrid>
      <w:tr>
        <w:tblPrEx/>
        <w:trPr/>
        <w:tc>
          <w:tcPr>
            <w:tcW w:w="7938" w:type="dxa"/>
            <w:textDirection w:val="lrTb"/>
            <w:noWrap w:val="false"/>
          </w:tcPr>
          <w:p>
            <w:pPr>
              <w:ind w:right="-8"/>
              <w:jc w:val="both"/>
              <w:spacing w:after="0" w:line="240" w:lineRule="auto"/>
              <w:rPr>
                <w:rFonts w:ascii="Times New Roman" w:hAnsi="Times New Roman" w:cs="Times New Roman"/>
                <w:b/>
                <w:bCs/>
              </w:rPr>
            </w:pPr>
            <w:r>
              <w:rPr>
                <w:rFonts w:ascii="Times New Roman" w:hAnsi="Times New Roman" w:cs="Times New Roman"/>
                <w:b/>
                <w:bCs/>
              </w:rPr>
              <w:t xml:space="preserve">ПОКУПАТЕЛЬ</w:t>
            </w:r>
            <w:r>
              <w:rPr>
                <w:rFonts w:ascii="Times New Roman" w:hAnsi="Times New Roman" w:cs="Times New Roman"/>
                <w:b/>
                <w:bCs/>
              </w:rPr>
            </w:r>
          </w:p>
          <w:p>
            <w:pPr>
              <w:ind w:right="-8"/>
              <w:jc w:val="both"/>
              <w:spacing w:after="0" w:line="240" w:lineRule="auto"/>
              <w:rPr>
                <w:rFonts w:ascii="Times New Roman" w:hAnsi="Times New Roman" w:cs="Times New Roman"/>
                <w:b/>
                <w:bCs/>
              </w:rPr>
            </w:pPr>
            <w:r>
              <w:rPr>
                <w:rFonts w:ascii="Times New Roman" w:hAnsi="Times New Roman" w:cs="Times New Roman"/>
                <w:b/>
                <w:bCs/>
              </w:rPr>
            </w:r>
            <w:r>
              <w:rPr>
                <w:rFonts w:ascii="Times New Roman" w:hAnsi="Times New Roman" w:cs="Times New Roman"/>
                <w:b/>
                <w:bCs/>
              </w:rPr>
            </w:r>
          </w:p>
        </w:tc>
        <w:tc>
          <w:tcPr>
            <w:tcW w:w="4617" w:type="dxa"/>
            <w:textDirection w:val="lrTb"/>
            <w:noWrap w:val="false"/>
          </w:tcPr>
          <w:p>
            <w:pPr>
              <w:ind w:right="-8"/>
              <w:jc w:val="both"/>
              <w:spacing w:after="0" w:line="240" w:lineRule="auto"/>
              <w:shd w:val="clear" w:color="auto" w:fill="ffffff"/>
              <w:rPr>
                <w:rFonts w:ascii="Times New Roman" w:hAnsi="Times New Roman" w:cs="Times New Roman"/>
                <w:b/>
                <w:bCs/>
              </w:rPr>
            </w:pPr>
            <w:r>
              <w:rPr>
                <w:rFonts w:ascii="Times New Roman" w:hAnsi="Times New Roman" w:cs="Times New Roman"/>
                <w:b/>
                <w:bCs/>
              </w:rPr>
              <w:t xml:space="preserve">                                       ПОСТАВЩИК</w:t>
            </w:r>
            <w:r>
              <w:rPr>
                <w:rFonts w:ascii="Times New Roman" w:hAnsi="Times New Roman" w:cs="Times New Roman"/>
                <w:b/>
                <w:bCs/>
              </w:rPr>
            </w:r>
          </w:p>
          <w:p>
            <w:pPr>
              <w:ind w:right="-8"/>
              <w:jc w:val="both"/>
              <w:spacing w:after="0" w:line="240" w:lineRule="auto"/>
              <w:rPr>
                <w:rFonts w:ascii="Times New Roman" w:hAnsi="Times New Roman" w:cs="Times New Roman"/>
                <w:b/>
                <w:bCs/>
              </w:rPr>
            </w:pPr>
            <w:r>
              <w:rPr>
                <w:rFonts w:ascii="Times New Roman" w:hAnsi="Times New Roman" w:cs="Times New Roman"/>
                <w:b/>
                <w:bCs/>
              </w:rPr>
            </w:r>
            <w:r>
              <w:rPr>
                <w:rFonts w:ascii="Times New Roman" w:hAnsi="Times New Roman" w:cs="Times New Roman"/>
                <w:b/>
                <w:bCs/>
              </w:rPr>
            </w:r>
          </w:p>
        </w:tc>
      </w:tr>
    </w:tbl>
    <w:p>
      <w:pPr>
        <w:tabs>
          <w:tab w:val="left" w:pos="7995" w:leader="none"/>
        </w:tabs>
      </w:pPr>
      <w:r/>
      <w:r/>
    </w:p>
    <w:sectPr>
      <w:footnotePr/>
      <w:endnotePr/>
      <w:type w:val="nextPage"/>
      <w:pgSz w:w="16839" w:h="11907" w:orient="landscape"/>
      <w:pgMar w:top="1134" w:right="709" w:bottom="708" w:left="709" w:header="680" w:footer="0" w:gutter="0"/>
      <w:cols w:num="1" w:sep="0" w:space="720" w:equalWidth="1"/>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spacing w:after="0" w:line="240" w:lineRule="auto"/>
      </w:pPr>
      <w:r>
        <w:separator/>
      </w:r>
      <w:r/>
    </w:p>
  </w:endnote>
  <w:endnote w:type="continuationSeparator" w:id="0">
    <w:p>
      <w:pPr>
        <w:spacing w:after="0" w:line="240" w:lineRule="auto"/>
      </w:pPr>
      <w:r>
        <w:continuationSeparator/>
      </w:r>
      <w:r/>
    </w:p>
  </w:endnote>
  <w:endnote w:type="continuationNotice" w:id="1">
    <w:p>
      <w:pPr>
        <w:spacing w:after="0" w:line="240" w:lineRule="auto"/>
      </w:pP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font>
  <w:font w:name="Tinos">
    <w:panose1 w:val="02000603000000000000"/>
  </w:font>
  <w:font w:name="HiddenHorzOCl">
    <w:panose1 w:val="02000603000000000000"/>
  </w:font>
  <w:font w:name="Symbol">
    <w:panose1 w:val="05050102010706020507"/>
  </w:font>
  <w:font w:name="Consolas">
    <w:panose1 w:val="020B0609020204030204"/>
  </w:font>
  <w:font w:name="open-sans">
    <w:panose1 w:val="020B0606030504020204"/>
  </w:font>
  <w:font w:name="Courier New">
    <w:panose1 w:val="02070309020205020404"/>
  </w:font>
  <w:font w:name="Mangal">
    <w:panose1 w:val="02040503050406030204"/>
  </w:font>
  <w:font w:name="Book Antiqua">
    <w:panose1 w:val="02040602050305030304"/>
  </w:font>
  <w:font w:name="Tahoma">
    <w:panose1 w:val="020B0604030504040204"/>
  </w:font>
  <w:font w:name="Helvetica">
    <w:panose1 w:val="020B0604020202020204"/>
  </w:font>
  <w:font w:name="SimSun">
    <w:panose1 w:val="02010600030101010101"/>
  </w:font>
  <w:font w:name="Calibri">
    <w:panose1 w:val="020F0502020204030204"/>
  </w:font>
  <w:font w:name="Times New Roman">
    <w:panose1 w:val="02020603050405020304"/>
  </w:font>
  <w:font w:name="Arial CYR">
    <w:panose1 w:val="020B0604020202020204"/>
  </w:font>
  <w:font w:name="Cambria">
    <w:panose1 w:val="02040503050406030204"/>
  </w:font>
  <w:font w:name="Arial">
    <w:panose1 w:val="020B0604020202020204"/>
  </w:font>
  <w:font w:name="Arial Unicode MS">
    <w:panose1 w:val="020B0604020202020204"/>
  </w:font>
  <w:font w:name="Tms Rmn">
    <w:panose1 w:val="02000603000000000000"/>
  </w:font>
  <w:font w:name="Lucida Sans Unicode">
    <w:panose1 w:val="020B0602030504020204"/>
  </w:font>
  <w:font w:name="Verdana">
    <w:panose1 w:val="020B060403050404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319"/>
    </w:pPr>
    <w:r/>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318"/>
      <w:jc w:val="right"/>
    </w:pPr>
    <w:r>
      <mc:AlternateContent>
        <mc:Choice Requires="wpg">
          <w:drawing>
            <wp:inline xmlns:wp="http://schemas.openxmlformats.org/drawingml/2006/wordprocessingDrawing" distT="0" distB="0" distL="0" distR="0">
              <wp:extent cx="857250" cy="228600"/>
              <wp:effectExtent l="0" t="0" r="0" b="0"/>
              <wp:docPr id="1" name="Рисунок 6"/>
              <wp:cNvGraphicFramePr/>
              <a:graphic xmlns:a="http://schemas.openxmlformats.org/drawingml/2006/main">
                <a:graphicData uri="http://schemas.openxmlformats.org/drawingml/2006/picture">
                  <pic:pic xmlns:pic="http://schemas.openxmlformats.org/drawingml/2006/picture">
                    <pic:nvPicPr>
                      <pic:cNvPr id="3" name=""/>
                      <pic:cNvPicPr/>
                      <pic:nvPr/>
                    </pic:nvPicPr>
                    <pic:blipFill>
                      <a:blip r:embed="rId1"/>
                      <a:stretch/>
                    </pic:blipFill>
                    <pic:spPr bwMode="auto">
                      <a:xfrm>
                        <a:off x="0" y="0"/>
                        <a:ext cx="857250" cy="228600"/>
                      </a:xfrm>
                      <a:prstGeom prst="rect">
                        <a:avLst/>
                      </a:prstGeom>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0" o:spid="_x0000_s0" type="#_x0000_t75" style="width:67.50pt;height:18.00pt;mso-wrap-distance-left:0.00pt;mso-wrap-distance-top:0.00pt;mso-wrap-distance-right:0.00pt;mso-wrap-distance-bottom:0.00pt;" stroked="false">
              <v:path textboxrect="0,0,0,0"/>
              <v:imagedata r:id="rId1" o:title=""/>
            </v:shape>
          </w:pict>
        </mc:Fallback>
      </mc:AlternateContent>
    </w:r>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spacing w:after="0" w:line="240" w:lineRule="auto"/>
      </w:pPr>
      <w:r>
        <w:separator/>
      </w:r>
      <w:r/>
    </w:p>
  </w:footnote>
  <w:footnote w:type="continuationSeparator" w:id="0">
    <w:p>
      <w:pPr>
        <w:spacing w:after="0" w:line="240" w:lineRule="auto"/>
      </w:pPr>
      <w:r>
        <w:continuationSeparator/>
      </w:r>
      <w:r/>
    </w:p>
  </w:footnote>
  <w:footnote w:type="continuationNotice" w:id="1">
    <w:p>
      <w:pPr>
        <w:spacing w:after="0" w:line="240" w:lineRule="auto"/>
      </w:pPr>
      <w:r/>
      <w:r/>
    </w:p>
  </w:footnote>
  <w:footnote w:id="3">
    <w:p>
      <w:pPr>
        <w:pStyle w:val="1331"/>
        <w:ind w:firstLine="284"/>
        <w:jc w:val="both"/>
        <w:tabs>
          <w:tab w:val="left" w:pos="7513" w:leader="none"/>
        </w:tabs>
        <w:rPr>
          <w:rFonts w:ascii="Times New Roman" w:hAnsi="Times New Roman" w:cs="Times New Roman"/>
          <w:sz w:val="22"/>
          <w:szCs w:val="22"/>
        </w:rPr>
        <w:pBdr>
          <w:top w:val="none" w:color="000000" w:sz="0" w:space="0"/>
          <w:left w:val="none" w:color="000000" w:sz="0" w:space="0"/>
          <w:bottom w:val="none" w:color="000000" w:sz="0" w:space="0"/>
          <w:right w:val="none" w:color="000000" w:sz="0" w:space="0"/>
          <w:between w:val="none" w:color="000000" w:sz="0" w:space="0"/>
        </w:pBdr>
      </w:pPr>
      <w:r>
        <w:rPr>
          <w:rStyle w:val="1333"/>
        </w:rPr>
        <w:footnoteRef/>
      </w:r>
      <w:r>
        <w:rPr>
          <w:rStyle w:val="1333"/>
        </w:rPr>
        <w:t xml:space="preserve"> </w:t>
      </w:r>
      <w:r>
        <w:rPr>
          <w:rFonts w:ascii="Tinos" w:hAnsi="Tinos" w:eastAsia="Tinos" w:cs="Tinos"/>
          <w:i/>
        </w:rPr>
        <w:t xml:space="preserve">Период оплаты может быть у</w:t>
      </w:r>
      <w:r>
        <w:rPr>
          <w:rFonts w:ascii="Tinos" w:hAnsi="Tinos" w:eastAsia="Tinos" w:cs="Tinos"/>
          <w:i/>
        </w:rPr>
        <w:t xml:space="preserve">величен в соответствии с условиями закупочной документации, ОРД Общества. Если срок оплаты установлен нормативно-правовым актом или организационно-распорядительным документом Общества, то данное условие должно быть приведено в соответствие с таким НПА/ОРД.</w:t>
      </w:r>
      <w:r>
        <w:rPr>
          <w:rFonts w:ascii="Times New Roman" w:hAnsi="Times New Roman" w:cs="Times New Roman"/>
          <w:sz w:val="22"/>
          <w:szCs w:val="22"/>
        </w:rPr>
      </w:r>
    </w:p>
  </w:footnote>
  <w:footnote w:id="4">
    <w:p>
      <w:pPr>
        <w:pStyle w:val="1331"/>
        <w:ind w:left="142"/>
        <w:jc w:val="both"/>
        <w:tabs>
          <w:tab w:val="left" w:pos="-142" w:leader="none"/>
        </w:tabs>
        <w:rPr>
          <w:rFonts w:ascii="Times New Roman" w:hAnsi="Times New Roman" w:cs="Times New Roman"/>
        </w:rPr>
      </w:pPr>
      <w:r>
        <w:rPr>
          <w:rStyle w:val="1333"/>
          <w:rFonts w:ascii="Times New Roman" w:hAnsi="Times New Roman" w:cs="Times New Roman"/>
          <w:sz w:val="22"/>
          <w:szCs w:val="22"/>
        </w:rPr>
        <w:footnoteRef/>
      </w:r>
      <w:r>
        <w:rPr>
          <w:rFonts w:ascii="Times New Roman" w:hAnsi="Times New Roman" w:cs="Times New Roman"/>
          <w:sz w:val="22"/>
          <w:szCs w:val="22"/>
        </w:rPr>
        <w:t xml:space="preserve"> </w:t>
      </w:r>
      <w:r>
        <w:rPr>
          <w:rFonts w:ascii="Times New Roman" w:hAnsi="Times New Roman" w:cs="Times New Roman"/>
        </w:rPr>
        <w:t xml:space="preserve">Применяется в случае принятия соответствующего решения закупочным органом Покупателя, а также в иных случаях в соответствии с ОРД Покупателя. </w:t>
      </w:r>
      <w:r>
        <w:rPr>
          <w:rFonts w:ascii="Times New Roman" w:hAnsi="Times New Roman" w:cs="Times New Roman"/>
        </w:rPr>
      </w:r>
    </w:p>
  </w:footnote>
  <w:footnote w:id="5">
    <w:p>
      <w:pPr>
        <w:ind w:left="142" w:right="40"/>
        <w:jc w:val="both"/>
        <w:spacing w:after="0" w:line="240" w:lineRule="auto"/>
        <w:rPr>
          <w:rFonts w:ascii="Times New Roman" w:hAnsi="Times New Roman" w:eastAsia="Arial" w:cs="Times New Roman"/>
          <w:color w:val="000000"/>
          <w:sz w:val="20"/>
          <w:szCs w:val="20"/>
          <w:lang w:eastAsia="ru-RU"/>
        </w:rPr>
        <w:pBdr>
          <w:left w:val="single" w:color="000000" w:sz="4" w:space="4"/>
        </w:pBdr>
      </w:pPr>
      <w:r>
        <w:rPr>
          <w:rStyle w:val="1333"/>
        </w:rPr>
        <w:footnoteRef/>
      </w:r>
      <w:r>
        <w:rPr>
          <w:rFonts w:ascii="Times New Roman" w:hAnsi="Times New Roman" w:eastAsia="Arial" w:cs="Times New Roman"/>
          <w:color w:val="000000"/>
          <w:sz w:val="20"/>
          <w:szCs w:val="20"/>
          <w:lang w:eastAsia="ru-RU"/>
        </w:rPr>
        <w:t xml:space="preserve">Пункт включается при заключении договоров с субъектами малого и среднего предпринимательства.</w:t>
      </w:r>
      <w:r>
        <w:rPr>
          <w:rFonts w:ascii="Times New Roman" w:hAnsi="Times New Roman" w:eastAsia="Arial" w:cs="Times New Roman"/>
          <w:color w:val="000000"/>
          <w:sz w:val="20"/>
          <w:szCs w:val="20"/>
          <w:lang w:eastAsia="ru-RU"/>
        </w:rPr>
      </w:r>
    </w:p>
  </w:footnote>
  <w:footnote w:id="6">
    <w:p>
      <w:pPr>
        <w:pStyle w:val="1331"/>
        <w:ind w:left="142"/>
        <w:jc w:val="both"/>
        <w:rPr>
          <w:rFonts w:ascii="Tinos" w:hAnsi="Tinos" w:cs="Tinos"/>
          <w:i/>
          <w:iCs/>
        </w:rPr>
      </w:pPr>
      <w:r>
        <w:rPr>
          <w:rStyle w:val="1333"/>
          <w:rFonts w:ascii="Times New Roman" w:hAnsi="Times New Roman" w:cs="Times New Roman"/>
          <w:sz w:val="22"/>
          <w:szCs w:val="22"/>
        </w:rPr>
        <w:footnoteRef/>
      </w:r>
      <w:r>
        <w:rPr>
          <w:rFonts w:ascii="Times New Roman" w:hAnsi="Times New Roman" w:cs="Times New Roman"/>
          <w:sz w:val="22"/>
          <w:szCs w:val="22"/>
        </w:rPr>
        <w:t xml:space="preserve"> </w:t>
      </w:r>
      <w:r>
        <w:rPr>
          <w:rFonts w:ascii="Tinos" w:hAnsi="Tinos" w:eastAsia="Tinos" w:cs="Tinos"/>
          <w:i/>
          <w:iCs/>
        </w:rPr>
        <w:t xml:space="preserve">Заменить това</w:t>
      </w:r>
      <w:r>
        <w:rPr>
          <w:rFonts w:ascii="Tinos" w:hAnsi="Tinos" w:eastAsia="Tinos" w:cs="Tinos"/>
          <w:i/>
          <w:iCs/>
        </w:rPr>
        <w:t xml:space="preserve">рную накладную на универсальный передаточный документ, если Поставщик применяет его.</w:t>
      </w:r>
      <w:r>
        <w:rPr>
          <w:rFonts w:ascii="Tinos" w:hAnsi="Tinos" w:cs="Tinos"/>
          <w:i/>
          <w:iCs/>
        </w:rPr>
      </w:r>
    </w:p>
  </w:footnote>
  <w:footnote w:id="7">
    <w:p>
      <w:pPr>
        <w:pStyle w:val="1331"/>
        <w:ind w:left="142"/>
        <w:jc w:val="both"/>
        <w:rPr>
          <w:rFonts w:ascii="Tinos" w:hAnsi="Tinos" w:cs="Tinos"/>
          <w:i/>
          <w:iCs/>
        </w:rPr>
      </w:pPr>
      <w:r>
        <w:rPr>
          <w:rStyle w:val="1333"/>
          <w:rFonts w:ascii="Tinos" w:hAnsi="Tinos" w:eastAsia="Tinos" w:cs="Tinos"/>
          <w:i/>
          <w:iCs/>
        </w:rPr>
        <w:footnoteRef/>
      </w:r>
      <w:r>
        <w:rPr>
          <w:rFonts w:ascii="Tinos" w:hAnsi="Tinos" w:eastAsia="Tinos" w:cs="Tinos"/>
          <w:i/>
          <w:iCs/>
        </w:rPr>
        <w:t xml:space="preserve"> Если Поставщик применяет УПД, исключить счет-фактуру.</w:t>
      </w:r>
      <w:r>
        <w:rPr>
          <w:rFonts w:ascii="Tinos" w:hAnsi="Tinos" w:cs="Tinos"/>
          <w:i/>
          <w:iCs/>
        </w:rPr>
      </w:r>
    </w:p>
  </w:footnote>
  <w:footnote w:id="8">
    <w:p>
      <w:pPr>
        <w:pStyle w:val="1331"/>
        <w:ind w:left="142"/>
        <w:jc w:val="both"/>
      </w:pPr>
      <w:r>
        <w:rPr>
          <w:rStyle w:val="1333"/>
          <w:rFonts w:ascii="Tinos" w:hAnsi="Tinos" w:eastAsia="Tinos" w:cs="Tinos"/>
          <w:i/>
          <w:iCs/>
        </w:rPr>
        <w:footnoteRef/>
      </w:r>
      <w:r>
        <w:rPr>
          <w:rFonts w:ascii="Tinos" w:hAnsi="Tinos" w:eastAsia="Tinos" w:cs="Tinos"/>
          <w:i/>
          <w:iCs/>
        </w:rPr>
        <w:t xml:space="preserve"> Заменить счет-фактуру на универсальный передаточный документ, если Поставщик применяет его.</w:t>
      </w:r>
      <w:r/>
    </w:p>
  </w:footnote>
  <w:footnote w:id="9">
    <w:p>
      <w:pPr>
        <w:pStyle w:val="1331"/>
        <w:ind w:left="142"/>
        <w:jc w:val="both"/>
        <w:rPr>
          <w:rFonts w:ascii="Tinos" w:hAnsi="Tinos" w:cs="Tinos"/>
          <w:i/>
          <w:iCs/>
          <w:sz w:val="22"/>
          <w:szCs w:val="22"/>
        </w:rPr>
      </w:pPr>
      <w:r>
        <w:rPr>
          <w:rStyle w:val="1333"/>
          <w:rFonts w:ascii="Times New Roman" w:hAnsi="Times New Roman" w:cs="Times New Roman"/>
          <w:sz w:val="22"/>
          <w:szCs w:val="22"/>
        </w:rPr>
        <w:footnoteRef/>
      </w:r>
      <w:r>
        <w:rPr>
          <w:rFonts w:ascii="Tinos" w:hAnsi="Tinos" w:eastAsia="Tinos" w:cs="Tinos"/>
          <w:i/>
          <w:iCs/>
          <w:sz w:val="22"/>
          <w:szCs w:val="22"/>
        </w:rPr>
        <w:t xml:space="preserve"> </w:t>
      </w:r>
      <w:r>
        <w:rPr>
          <w:rFonts w:ascii="Tinos" w:hAnsi="Tinos" w:eastAsia="Tinos" w:cs="Tinos"/>
          <w:i/>
          <w:iCs/>
        </w:rPr>
        <w:t xml:space="preserve">Заменить на универс</w:t>
      </w:r>
      <w:r>
        <w:rPr>
          <w:rFonts w:ascii="Tinos" w:hAnsi="Tinos" w:eastAsia="Tinos" w:cs="Tinos"/>
          <w:i/>
          <w:iCs/>
        </w:rPr>
        <w:t xml:space="preserve">альный передаточный документ, если Поставщик применяет его.</w:t>
      </w:r>
      <w:r>
        <w:rPr>
          <w:rFonts w:ascii="Tinos" w:hAnsi="Tinos" w:cs="Tinos"/>
          <w:i/>
          <w:iCs/>
          <w:sz w:val="22"/>
          <w:szCs w:val="22"/>
        </w:rPr>
      </w:r>
    </w:p>
    <w:p>
      <w:pPr>
        <w:pStyle w:val="1331"/>
        <w:ind w:left="142" w:firstLine="567"/>
        <w:jc w:val="both"/>
        <w:rPr>
          <w:rFonts w:ascii="Tinos" w:hAnsi="Tinos" w:cs="Tinos"/>
          <w:i/>
          <w:iCs/>
          <w:sz w:val="22"/>
          <w:szCs w:val="22"/>
        </w:rPr>
      </w:pPr>
      <w:r>
        <w:rPr>
          <w:rFonts w:ascii="Tinos" w:hAnsi="Tinos" w:cs="Tinos"/>
          <w:i/>
          <w:iCs/>
          <w:sz w:val="22"/>
          <w:szCs w:val="22"/>
        </w:rPr>
      </w:r>
      <w:r>
        <w:rPr>
          <w:rFonts w:ascii="Tinos" w:hAnsi="Tinos" w:cs="Tinos"/>
          <w:i/>
          <w:iCs/>
          <w:sz w:val="22"/>
          <w:szCs w:val="22"/>
        </w:rPr>
      </w:r>
    </w:p>
  </w:footnote>
  <w:footnote w:id="10">
    <w:p>
      <w:pPr>
        <w:pStyle w:val="1331"/>
        <w:rPr>
          <w:rFonts w:ascii="Tinos" w:hAnsi="Tinos" w:cs="Tinos"/>
          <w:i/>
          <w:iCs/>
          <w:sz w:val="22"/>
          <w:szCs w:val="22"/>
        </w:rPr>
      </w:pPr>
      <w:r>
        <w:rPr>
          <w:rStyle w:val="1333"/>
          <w:rFonts w:ascii="Times New Roman" w:hAnsi="Times New Roman" w:cs="Times New Roman"/>
          <w:sz w:val="22"/>
          <w:szCs w:val="22"/>
        </w:rPr>
        <w:footnoteRef/>
      </w:r>
      <w:r>
        <w:rPr>
          <w:rFonts w:ascii="Times New Roman" w:hAnsi="Times New Roman" w:cs="Times New Roman"/>
          <w:sz w:val="22"/>
          <w:szCs w:val="22"/>
        </w:rPr>
        <w:t xml:space="preserve"> </w:t>
      </w:r>
      <w:r>
        <w:rPr>
          <w:rFonts w:ascii="Tinos" w:hAnsi="Tinos" w:eastAsia="Tinos" w:cs="Tinos"/>
          <w:i/>
          <w:iCs/>
        </w:rPr>
        <w:t xml:space="preserve">Пункт указывается в случае применения обеспечения (выбирается вариант в соответствии с условиями обеспечения).</w:t>
      </w:r>
      <w:r>
        <w:rPr>
          <w:rFonts w:ascii="Tinos" w:hAnsi="Tinos" w:cs="Tinos"/>
          <w:i/>
          <w:iCs/>
          <w:sz w:val="22"/>
          <w:szCs w:val="22"/>
        </w:rPr>
      </w:r>
    </w:p>
  </w:footnote>
  <w:footnote w:id="11">
    <w:p>
      <w:pPr>
        <w:pStyle w:val="1331"/>
        <w:ind w:left="142" w:firstLine="567"/>
        <w:jc w:val="both"/>
        <w:rPr>
          <w:rFonts w:ascii="Tinos" w:hAnsi="Tinos" w:cs="Tinos"/>
          <w:i/>
          <w:iCs/>
          <w:sz w:val="18"/>
          <w:szCs w:val="18"/>
        </w:rPr>
      </w:pPr>
      <w:r>
        <w:rPr>
          <w:rStyle w:val="1333"/>
          <w:rFonts w:ascii="Times New Roman" w:hAnsi="Times New Roman" w:cs="Times New Roman"/>
          <w:sz w:val="22"/>
          <w:szCs w:val="22"/>
        </w:rPr>
        <w:footnoteRef/>
      </w:r>
      <w:r>
        <w:rPr>
          <w:rFonts w:ascii="Times New Roman" w:hAnsi="Times New Roman" w:cs="Times New Roman"/>
          <w:sz w:val="22"/>
          <w:szCs w:val="22"/>
        </w:rPr>
        <w:t xml:space="preserve"> </w:t>
      </w:r>
      <w:r>
        <w:rPr>
          <w:rFonts w:ascii="Tinos" w:hAnsi="Tinos" w:eastAsia="Tinos" w:cs="Tinos"/>
          <w:i/>
          <w:iCs/>
          <w:sz w:val="18"/>
          <w:szCs w:val="18"/>
        </w:rPr>
        <w:t xml:space="preserve">ТОРГ-12 указывается, если Поставщик не применяет универсальный пере</w:t>
      </w:r>
      <w:r>
        <w:rPr>
          <w:rFonts w:ascii="Tinos" w:hAnsi="Tinos" w:eastAsia="Tinos" w:cs="Tinos"/>
          <w:i/>
          <w:iCs/>
          <w:sz w:val="18"/>
          <w:szCs w:val="18"/>
        </w:rPr>
        <w:t xml:space="preserve">даточный документ.</w:t>
      </w:r>
      <w:r>
        <w:rPr>
          <w:rFonts w:ascii="Tinos" w:hAnsi="Tinos" w:cs="Tinos"/>
          <w:i/>
          <w:iCs/>
          <w:sz w:val="18"/>
          <w:szCs w:val="18"/>
        </w:rPr>
      </w:r>
    </w:p>
  </w:footnote>
  <w:footnote w:id="12">
    <w:p>
      <w:pPr>
        <w:pStyle w:val="1331"/>
        <w:ind w:left="142" w:firstLine="567"/>
        <w:jc w:val="both"/>
        <w:rPr>
          <w:rFonts w:ascii="Tinos" w:hAnsi="Tinos" w:cs="Tinos"/>
          <w:i/>
          <w:iCs/>
          <w:sz w:val="18"/>
          <w:szCs w:val="18"/>
        </w:rPr>
      </w:pPr>
      <w:r>
        <w:rPr>
          <w:rStyle w:val="1333"/>
          <w:rFonts w:ascii="Tinos" w:hAnsi="Tinos" w:eastAsia="Tinos" w:cs="Tinos"/>
          <w:i/>
          <w:iCs/>
          <w:sz w:val="18"/>
          <w:szCs w:val="18"/>
        </w:rPr>
        <w:footnoteRef/>
      </w:r>
      <w:r>
        <w:rPr>
          <w:rFonts w:ascii="Tinos" w:hAnsi="Tinos" w:eastAsia="Tinos" w:cs="Tinos"/>
          <w:i/>
          <w:iCs/>
          <w:sz w:val="18"/>
          <w:szCs w:val="18"/>
        </w:rPr>
        <w:t xml:space="preserve"> Если Поставщик применяет универсальный передаточный документ (вместо накладной по форме ТОРГ-12).  </w:t>
      </w:r>
      <w:r>
        <w:rPr>
          <w:rFonts w:ascii="Tinos" w:hAnsi="Tinos" w:cs="Tinos"/>
          <w:i/>
          <w:iCs/>
          <w:sz w:val="18"/>
          <w:szCs w:val="18"/>
        </w:rPr>
      </w:r>
    </w:p>
    <w:p>
      <w:pPr>
        <w:pStyle w:val="1331"/>
        <w:ind w:left="142" w:firstLine="567"/>
        <w:jc w:val="both"/>
        <w:rPr>
          <w:rFonts w:ascii="Times New Roman" w:hAnsi="Times New Roman" w:cs="Times New Roman"/>
          <w:sz w:val="22"/>
          <w:szCs w:val="22"/>
        </w:rPr>
      </w:pPr>
      <w:r>
        <w:rPr>
          <w:rFonts w:ascii="Times New Roman" w:hAnsi="Times New Roman" w:cs="Times New Roman"/>
          <w:sz w:val="22"/>
          <w:szCs w:val="22"/>
        </w:rPr>
      </w:r>
      <w:r>
        <w:rPr>
          <w:rFonts w:ascii="Times New Roman" w:hAnsi="Times New Roman" w:cs="Times New Roman"/>
          <w:sz w:val="22"/>
          <w:szCs w:val="22"/>
        </w:rPr>
      </w:r>
    </w:p>
    <w:p>
      <w:pPr>
        <w:pStyle w:val="1331"/>
        <w:ind w:left="142" w:firstLine="567"/>
        <w:jc w:val="both"/>
        <w:rPr>
          <w:rFonts w:ascii="Times New Roman" w:hAnsi="Times New Roman" w:cs="Times New Roman"/>
          <w:sz w:val="22"/>
          <w:szCs w:val="22"/>
        </w:rPr>
      </w:pPr>
      <w:r>
        <w:rPr>
          <w:rFonts w:ascii="Times New Roman" w:hAnsi="Times New Roman" w:cs="Times New Roman"/>
          <w:sz w:val="22"/>
          <w:szCs w:val="22"/>
        </w:rPr>
      </w:r>
      <w:r>
        <w:rPr>
          <w:rFonts w:ascii="Times New Roman" w:hAnsi="Times New Roman" w:cs="Times New Roman"/>
          <w:sz w:val="22"/>
          <w:szCs w:val="22"/>
        </w:rPr>
      </w:r>
    </w:p>
    <w:p>
      <w:pPr>
        <w:pStyle w:val="1331"/>
        <w:ind w:left="142" w:firstLine="567"/>
        <w:jc w:val="both"/>
        <w:rPr>
          <w:rFonts w:ascii="Times New Roman" w:hAnsi="Times New Roman" w:cs="Times New Roman"/>
          <w:sz w:val="22"/>
          <w:szCs w:val="22"/>
        </w:rPr>
      </w:pPr>
      <w:r>
        <w:rPr>
          <w:rFonts w:ascii="Times New Roman" w:hAnsi="Times New Roman" w:cs="Times New Roman"/>
          <w:sz w:val="22"/>
          <w:szCs w:val="22"/>
        </w:rPr>
      </w:r>
      <w:r>
        <w:rPr>
          <w:rFonts w:ascii="Times New Roman" w:hAnsi="Times New Roman" w:cs="Times New Roman"/>
          <w:sz w:val="22"/>
          <w:szCs w:val="22"/>
        </w:rPr>
      </w:r>
    </w:p>
    <w:p>
      <w:pPr>
        <w:pStyle w:val="1331"/>
        <w:ind w:left="142" w:firstLine="567"/>
        <w:jc w:val="both"/>
        <w:rPr>
          <w:rFonts w:ascii="Times New Roman" w:hAnsi="Times New Roman" w:cs="Times New Roman"/>
          <w:sz w:val="22"/>
          <w:szCs w:val="22"/>
        </w:rPr>
      </w:pPr>
      <w:r>
        <w:rPr>
          <w:rFonts w:ascii="Times New Roman" w:hAnsi="Times New Roman" w:cs="Times New Roman"/>
          <w:sz w:val="22"/>
          <w:szCs w:val="22"/>
        </w:rPr>
      </w:r>
      <w:r>
        <w:rPr>
          <w:rFonts w:ascii="Times New Roman" w:hAnsi="Times New Roman" w:cs="Times New Roman"/>
          <w:sz w:val="22"/>
          <w:szCs w:val="22"/>
        </w:rPr>
      </w:r>
    </w:p>
    <w:p>
      <w:pPr>
        <w:pStyle w:val="1331"/>
        <w:ind w:left="142" w:firstLine="567"/>
        <w:jc w:val="both"/>
        <w:rPr>
          <w:rFonts w:ascii="Times New Roman" w:hAnsi="Times New Roman" w:cs="Times New Roman"/>
          <w:sz w:val="22"/>
          <w:szCs w:val="22"/>
        </w:rPr>
      </w:pPr>
      <w:r>
        <w:rPr>
          <w:rFonts w:ascii="Times New Roman" w:hAnsi="Times New Roman" w:cs="Times New Roman"/>
          <w:sz w:val="22"/>
          <w:szCs w:val="22"/>
        </w:rPr>
      </w:r>
      <w:r>
        <w:rPr>
          <w:rFonts w:ascii="Times New Roman" w:hAnsi="Times New Roman" w:cs="Times New Roman"/>
          <w:sz w:val="22"/>
          <w:szCs w:val="22"/>
        </w:rPr>
      </w:r>
    </w:p>
    <w:p>
      <w:pPr>
        <w:pStyle w:val="1331"/>
        <w:ind w:left="142" w:firstLine="567"/>
        <w:jc w:val="both"/>
        <w:rPr>
          <w:rFonts w:ascii="Times New Roman" w:hAnsi="Times New Roman" w:cs="Times New Roman"/>
          <w:sz w:val="22"/>
          <w:szCs w:val="22"/>
        </w:rPr>
      </w:pPr>
      <w:r>
        <w:rPr>
          <w:rFonts w:ascii="Times New Roman" w:hAnsi="Times New Roman" w:cs="Times New Roman"/>
          <w:sz w:val="22"/>
          <w:szCs w:val="22"/>
        </w:rPr>
      </w:r>
      <w:r>
        <w:rPr>
          <w:rFonts w:ascii="Times New Roman" w:hAnsi="Times New Roman" w:cs="Times New Roman"/>
          <w:sz w:val="22"/>
          <w:szCs w:val="22"/>
        </w:rPr>
      </w:r>
    </w:p>
    <w:p>
      <w:pPr>
        <w:pStyle w:val="1331"/>
        <w:ind w:left="142" w:firstLine="567"/>
        <w:jc w:val="both"/>
        <w:rPr>
          <w:rFonts w:ascii="Times New Roman" w:hAnsi="Times New Roman" w:cs="Times New Roman"/>
          <w:sz w:val="22"/>
          <w:szCs w:val="22"/>
        </w:rPr>
      </w:pPr>
      <w:r>
        <w:rPr>
          <w:rFonts w:ascii="Times New Roman" w:hAnsi="Times New Roman" w:cs="Times New Roman"/>
          <w:sz w:val="22"/>
          <w:szCs w:val="22"/>
        </w:rPr>
      </w:r>
      <w:r>
        <w:rPr>
          <w:rFonts w:ascii="Times New Roman" w:hAnsi="Times New Roman" w:cs="Times New Roman"/>
          <w:sz w:val="22"/>
          <w:szCs w:val="22"/>
        </w:rPr>
      </w:r>
    </w:p>
    <w:p>
      <w:pPr>
        <w:pStyle w:val="1331"/>
        <w:ind w:left="142" w:firstLine="567"/>
        <w:jc w:val="both"/>
        <w:rPr>
          <w:rFonts w:ascii="Times New Roman" w:hAnsi="Times New Roman" w:cs="Times New Roman"/>
          <w:sz w:val="22"/>
          <w:szCs w:val="22"/>
        </w:rPr>
      </w:pPr>
      <w:r>
        <w:rPr>
          <w:rFonts w:ascii="Times New Roman" w:hAnsi="Times New Roman" w:cs="Times New Roman"/>
          <w:sz w:val="22"/>
          <w:szCs w:val="22"/>
        </w:rPr>
      </w:r>
      <w:r>
        <w:rPr>
          <w:rFonts w:ascii="Times New Roman" w:hAnsi="Times New Roman" w:cs="Times New Roman"/>
          <w:sz w:val="22"/>
          <w:szCs w:val="22"/>
        </w:rPr>
      </w:r>
    </w:p>
    <w:p>
      <w:pPr>
        <w:pStyle w:val="1331"/>
        <w:ind w:left="142" w:firstLine="567"/>
        <w:jc w:val="both"/>
        <w:rPr>
          <w:rFonts w:ascii="Times New Roman" w:hAnsi="Times New Roman" w:cs="Times New Roman"/>
          <w:sz w:val="22"/>
          <w:szCs w:val="22"/>
        </w:rPr>
      </w:pPr>
      <w:r>
        <w:rPr>
          <w:rFonts w:ascii="Times New Roman" w:hAnsi="Times New Roman" w:cs="Times New Roman"/>
          <w:sz w:val="22"/>
          <w:szCs w:val="22"/>
        </w:rPr>
      </w:r>
      <w:r>
        <w:rPr>
          <w:rFonts w:ascii="Times New Roman" w:hAnsi="Times New Roman" w:cs="Times New Roman"/>
          <w:sz w:val="22"/>
          <w:szCs w:val="22"/>
        </w:rPr>
      </w:r>
    </w:p>
    <w:p>
      <w:pPr>
        <w:pStyle w:val="1331"/>
        <w:ind w:left="142" w:firstLine="567"/>
        <w:jc w:val="both"/>
        <w:rPr>
          <w:rFonts w:ascii="Times New Roman" w:hAnsi="Times New Roman" w:cs="Times New Roman"/>
          <w:sz w:val="22"/>
          <w:szCs w:val="22"/>
        </w:rPr>
      </w:pPr>
      <w:r>
        <w:rPr>
          <w:rFonts w:ascii="Times New Roman" w:hAnsi="Times New Roman" w:cs="Times New Roman"/>
          <w:sz w:val="22"/>
          <w:szCs w:val="22"/>
        </w:rPr>
      </w:r>
      <w:r>
        <w:rPr>
          <w:rFonts w:ascii="Times New Roman" w:hAnsi="Times New Roman" w:cs="Times New Roman"/>
          <w:sz w:val="22"/>
          <w:szCs w:val="22"/>
        </w:rPr>
      </w:r>
    </w:p>
    <w:p>
      <w:pPr>
        <w:pStyle w:val="1331"/>
        <w:ind w:left="142" w:firstLine="567"/>
        <w:jc w:val="both"/>
        <w:rPr>
          <w:rFonts w:ascii="Times New Roman" w:hAnsi="Times New Roman" w:cs="Times New Roman"/>
          <w:sz w:val="22"/>
          <w:szCs w:val="22"/>
        </w:rPr>
      </w:pPr>
      <w:r>
        <w:rPr>
          <w:rFonts w:ascii="Times New Roman" w:hAnsi="Times New Roman" w:cs="Times New Roman"/>
          <w:sz w:val="22"/>
          <w:szCs w:val="22"/>
        </w:rPr>
      </w:r>
      <w:r>
        <w:rPr>
          <w:rFonts w:ascii="Times New Roman" w:hAnsi="Times New Roman" w:cs="Times New Roman"/>
          <w:sz w:val="22"/>
          <w:szCs w:val="22"/>
        </w:rPr>
      </w:r>
    </w:p>
    <w:p>
      <w:pPr>
        <w:pStyle w:val="1331"/>
        <w:ind w:left="142" w:firstLine="567"/>
        <w:jc w:val="both"/>
        <w:rPr>
          <w:rFonts w:ascii="Times New Roman" w:hAnsi="Times New Roman" w:cs="Times New Roman"/>
          <w:sz w:val="22"/>
          <w:szCs w:val="22"/>
        </w:rPr>
      </w:pPr>
      <w:r>
        <w:rPr>
          <w:rFonts w:ascii="Times New Roman" w:hAnsi="Times New Roman" w:cs="Times New Roman"/>
          <w:sz w:val="22"/>
          <w:szCs w:val="22"/>
        </w:rPr>
      </w:r>
      <w:r>
        <w:rPr>
          <w:rFonts w:ascii="Times New Roman" w:hAnsi="Times New Roman" w:cs="Times New Roman"/>
          <w:sz w:val="22"/>
          <w:szCs w:val="22"/>
        </w:rPr>
      </w:r>
    </w:p>
    <w:p>
      <w:pPr>
        <w:pStyle w:val="1331"/>
        <w:ind w:left="142" w:firstLine="567"/>
        <w:jc w:val="both"/>
        <w:rPr>
          <w:rFonts w:ascii="Times New Roman" w:hAnsi="Times New Roman" w:cs="Times New Roman"/>
          <w:sz w:val="22"/>
          <w:szCs w:val="22"/>
        </w:rPr>
      </w:pPr>
      <w:r>
        <w:rPr>
          <w:rFonts w:ascii="Times New Roman" w:hAnsi="Times New Roman" w:cs="Times New Roman"/>
          <w:sz w:val="22"/>
          <w:szCs w:val="22"/>
        </w:rPr>
      </w:r>
      <w:r>
        <w:rPr>
          <w:rFonts w:ascii="Times New Roman" w:hAnsi="Times New Roman" w:cs="Times New Roman"/>
          <w:sz w:val="22"/>
          <w:szCs w:val="22"/>
        </w:rPr>
      </w:r>
    </w:p>
    <w:p>
      <w:pPr>
        <w:pStyle w:val="1331"/>
        <w:ind w:left="142" w:firstLine="567"/>
        <w:jc w:val="both"/>
        <w:rPr>
          <w:rFonts w:ascii="Times New Roman" w:hAnsi="Times New Roman" w:cs="Times New Roman"/>
          <w:sz w:val="22"/>
          <w:szCs w:val="22"/>
        </w:rPr>
      </w:pPr>
      <w:r>
        <w:rPr>
          <w:rFonts w:ascii="Times New Roman" w:hAnsi="Times New Roman" w:cs="Times New Roman"/>
          <w:sz w:val="22"/>
          <w:szCs w:val="22"/>
        </w:rPr>
      </w:r>
      <w:r>
        <w:rPr>
          <w:rFonts w:ascii="Times New Roman" w:hAnsi="Times New Roman" w:cs="Times New Roman"/>
          <w:sz w:val="22"/>
          <w:szCs w:val="22"/>
        </w:rPr>
      </w:r>
    </w:p>
    <w:p>
      <w:pPr>
        <w:pStyle w:val="1331"/>
        <w:ind w:left="142" w:firstLine="567"/>
        <w:jc w:val="both"/>
        <w:rPr>
          <w:rFonts w:ascii="Times New Roman" w:hAnsi="Times New Roman" w:cs="Times New Roman"/>
          <w:sz w:val="22"/>
          <w:szCs w:val="22"/>
        </w:rPr>
      </w:pPr>
      <w:r>
        <w:rPr>
          <w:rFonts w:ascii="Times New Roman" w:hAnsi="Times New Roman" w:cs="Times New Roman"/>
          <w:sz w:val="22"/>
          <w:szCs w:val="22"/>
        </w:rPr>
      </w:r>
      <w:r>
        <w:rPr>
          <w:rFonts w:ascii="Times New Roman" w:hAnsi="Times New Roman" w:cs="Times New Roman"/>
          <w:sz w:val="22"/>
          <w:szCs w:val="22"/>
        </w:rPr>
      </w:r>
    </w:p>
    <w:p>
      <w:pPr>
        <w:pStyle w:val="1331"/>
        <w:ind w:left="142" w:firstLine="567"/>
        <w:jc w:val="both"/>
        <w:rPr>
          <w:rFonts w:ascii="Times New Roman" w:hAnsi="Times New Roman" w:cs="Times New Roman"/>
          <w:sz w:val="22"/>
          <w:szCs w:val="22"/>
        </w:rPr>
      </w:pPr>
      <w:r>
        <w:rPr>
          <w:rFonts w:ascii="Times New Roman" w:hAnsi="Times New Roman" w:cs="Times New Roman"/>
          <w:sz w:val="22"/>
          <w:szCs w:val="22"/>
        </w:rPr>
      </w:r>
      <w:r>
        <w:rPr>
          <w:rFonts w:ascii="Times New Roman" w:hAnsi="Times New Roman" w:cs="Times New Roman"/>
          <w:sz w:val="22"/>
          <w:szCs w:val="22"/>
        </w:rPr>
      </w:r>
    </w:p>
    <w:p>
      <w:pPr>
        <w:pStyle w:val="1331"/>
        <w:ind w:left="142" w:firstLine="567"/>
        <w:jc w:val="both"/>
        <w:rPr>
          <w:rFonts w:ascii="Times New Roman" w:hAnsi="Times New Roman" w:cs="Times New Roman"/>
          <w:sz w:val="22"/>
          <w:szCs w:val="22"/>
        </w:rPr>
      </w:pPr>
      <w:r>
        <w:rPr>
          <w:rFonts w:ascii="Times New Roman" w:hAnsi="Times New Roman" w:cs="Times New Roman"/>
          <w:sz w:val="22"/>
          <w:szCs w:val="22"/>
        </w:rPr>
      </w:r>
      <w:r>
        <w:rPr>
          <w:rFonts w:ascii="Times New Roman" w:hAnsi="Times New Roman" w:cs="Times New Roman"/>
          <w:sz w:val="22"/>
          <w:szCs w:val="22"/>
        </w:rPr>
      </w:r>
    </w:p>
    <w:p>
      <w:pPr>
        <w:pStyle w:val="1331"/>
        <w:ind w:left="142" w:firstLine="567"/>
        <w:jc w:val="both"/>
        <w:rPr>
          <w:rFonts w:ascii="Times New Roman" w:hAnsi="Times New Roman" w:cs="Times New Roman"/>
          <w:sz w:val="22"/>
          <w:szCs w:val="22"/>
        </w:rPr>
      </w:pPr>
      <w:r>
        <w:rPr>
          <w:rFonts w:ascii="Times New Roman" w:hAnsi="Times New Roman" w:cs="Times New Roman"/>
          <w:sz w:val="22"/>
          <w:szCs w:val="22"/>
        </w:rPr>
      </w:r>
      <w:r>
        <w:rPr>
          <w:rFonts w:ascii="Times New Roman" w:hAnsi="Times New Roman" w:cs="Times New Roman"/>
          <w:sz w:val="22"/>
          <w:szCs w:val="22"/>
        </w:rPr>
      </w:r>
    </w:p>
    <w:p>
      <w:pPr>
        <w:pStyle w:val="1331"/>
        <w:ind w:left="142" w:firstLine="567"/>
        <w:jc w:val="both"/>
        <w:rPr>
          <w:rFonts w:ascii="Times New Roman" w:hAnsi="Times New Roman" w:cs="Times New Roman"/>
          <w:sz w:val="22"/>
          <w:szCs w:val="22"/>
        </w:rPr>
      </w:pPr>
      <w:r>
        <w:rPr>
          <w:rFonts w:ascii="Times New Roman" w:hAnsi="Times New Roman" w:cs="Times New Roman"/>
          <w:sz w:val="22"/>
          <w:szCs w:val="22"/>
        </w:rPr>
      </w:r>
      <w:r>
        <w:rPr>
          <w:rFonts w:ascii="Times New Roman" w:hAnsi="Times New Roman" w:cs="Times New Roman"/>
          <w:sz w:val="22"/>
          <w:szCs w:val="22"/>
        </w:rPr>
      </w:r>
    </w:p>
    <w:p>
      <w:pPr>
        <w:pStyle w:val="1331"/>
        <w:ind w:left="142" w:firstLine="567"/>
        <w:jc w:val="both"/>
        <w:rPr>
          <w:rFonts w:ascii="Times New Roman" w:hAnsi="Times New Roman" w:cs="Times New Roman"/>
          <w:sz w:val="22"/>
          <w:szCs w:val="22"/>
        </w:rPr>
      </w:pPr>
      <w:r>
        <w:rPr>
          <w:rFonts w:ascii="Times New Roman" w:hAnsi="Times New Roman" w:cs="Times New Roman"/>
          <w:sz w:val="22"/>
          <w:szCs w:val="22"/>
        </w:rPr>
      </w:r>
      <w:r>
        <w:rPr>
          <w:rFonts w:ascii="Times New Roman" w:hAnsi="Times New Roman" w:cs="Times New Roman"/>
          <w:sz w:val="22"/>
          <w:szCs w:val="22"/>
        </w:rPr>
      </w:r>
    </w:p>
    <w:p>
      <w:pPr>
        <w:pStyle w:val="1331"/>
        <w:ind w:left="142" w:firstLine="567"/>
        <w:jc w:val="both"/>
        <w:rPr>
          <w:rFonts w:ascii="Times New Roman" w:hAnsi="Times New Roman" w:cs="Times New Roman"/>
          <w:sz w:val="22"/>
          <w:szCs w:val="22"/>
        </w:rPr>
      </w:pPr>
      <w:r>
        <w:rPr>
          <w:rFonts w:ascii="Times New Roman" w:hAnsi="Times New Roman" w:cs="Times New Roman"/>
          <w:sz w:val="22"/>
          <w:szCs w:val="22"/>
        </w:rPr>
      </w:r>
      <w:r>
        <w:rPr>
          <w:rFonts w:ascii="Times New Roman" w:hAnsi="Times New Roman" w:cs="Times New Roman"/>
          <w:sz w:val="22"/>
          <w:szCs w:val="22"/>
        </w:rPr>
      </w:r>
    </w:p>
    <w:p>
      <w:pPr>
        <w:pStyle w:val="1331"/>
        <w:jc w:val="both"/>
        <w:rPr>
          <w:rFonts w:ascii="Times New Roman" w:hAnsi="Times New Roman" w:cs="Times New Roman"/>
          <w:sz w:val="22"/>
          <w:szCs w:val="22"/>
        </w:rPr>
      </w:pPr>
      <w:r>
        <w:rPr>
          <w:rFonts w:ascii="Times New Roman" w:hAnsi="Times New Roman" w:cs="Times New Roman"/>
          <w:sz w:val="22"/>
          <w:szCs w:val="22"/>
        </w:rPr>
      </w:r>
      <w:r>
        <w:rPr>
          <w:rFonts w:ascii="Times New Roman" w:hAnsi="Times New Roman" w:cs="Times New Roman"/>
          <w:sz w:val="22"/>
          <w:szCs w:val="22"/>
        </w:rPr>
      </w:r>
    </w:p>
    <w:p>
      <w:pPr>
        <w:pStyle w:val="1331"/>
        <w:ind w:left="142" w:firstLine="567"/>
        <w:jc w:val="both"/>
        <w:rPr>
          <w:rFonts w:ascii="Times New Roman" w:hAnsi="Times New Roman" w:cs="Times New Roman"/>
          <w:sz w:val="22"/>
          <w:szCs w:val="22"/>
        </w:rPr>
      </w:pPr>
      <w:r>
        <w:rPr>
          <w:rFonts w:ascii="Times New Roman" w:hAnsi="Times New Roman" w:cs="Times New Roman"/>
          <w:sz w:val="22"/>
          <w:szCs w:val="22"/>
        </w:rPr>
      </w:r>
      <w:r>
        <w:rPr>
          <w:rFonts w:ascii="Times New Roman" w:hAnsi="Times New Roman" w:cs="Times New Roman"/>
          <w:sz w:val="22"/>
          <w:szCs w:val="22"/>
        </w:rPr>
      </w:r>
    </w:p>
    <w:p>
      <w:pPr>
        <w:pStyle w:val="1331"/>
        <w:ind w:left="142" w:firstLine="567"/>
        <w:jc w:val="both"/>
        <w:rPr>
          <w:rFonts w:ascii="Times New Roman" w:hAnsi="Times New Roman" w:cs="Times New Roman"/>
          <w:sz w:val="22"/>
          <w:szCs w:val="22"/>
        </w:rPr>
      </w:pPr>
      <w:r>
        <w:rPr>
          <w:rFonts w:ascii="Times New Roman" w:hAnsi="Times New Roman" w:cs="Times New Roman"/>
          <w:sz w:val="22"/>
          <w:szCs w:val="22"/>
        </w:rPr>
      </w:r>
      <w:r>
        <w:rPr>
          <w:rFonts w:ascii="Times New Roman" w:hAnsi="Times New Roman" w:cs="Times New Roman"/>
          <w:sz w:val="22"/>
          <w:szCs w:val="22"/>
        </w:rPr>
      </w:r>
    </w:p>
    <w:p>
      <w:pPr>
        <w:pStyle w:val="1331"/>
        <w:ind w:left="142" w:firstLine="567"/>
        <w:jc w:val="both"/>
        <w:rPr>
          <w:rFonts w:ascii="Times New Roman" w:hAnsi="Times New Roman" w:cs="Times New Roman"/>
          <w:sz w:val="22"/>
          <w:szCs w:val="22"/>
        </w:rPr>
      </w:pPr>
      <w:r>
        <w:rPr>
          <w:rFonts w:eastAsia="Times New Roman"/>
        </w:rPr>
        <w:br w:type="page" w:clear="all"/>
      </w:r>
      <w:r>
        <w:rPr>
          <w:rFonts w:ascii="Times New Roman" w:hAnsi="Times New Roman" w:cs="Times New Roman"/>
          <w:sz w:val="22"/>
          <w:szCs w:val="22"/>
        </w:rPr>
      </w:r>
    </w:p>
  </w:footnote>
  <w:footnote w:id="13">
    <w:p>
      <w:pPr>
        <w:pStyle w:val="1331"/>
        <w:jc w:val="both"/>
        <w:rPr>
          <w:rFonts w:ascii="Times New Roman" w:hAnsi="Times New Roman" w:cs="Times New Roman"/>
        </w:rPr>
      </w:pPr>
      <w:r>
        <w:rPr>
          <w:rStyle w:val="1333"/>
        </w:rPr>
        <w:footnoteRef/>
      </w:r>
      <w:r>
        <w:t xml:space="preserve"> </w:t>
      </w:r>
      <w:r>
        <w:rPr>
          <w:rFonts w:ascii="Times New Roman" w:hAnsi="Times New Roman" w:cs="Times New Roman"/>
        </w:rPr>
        <w:t xml:space="preserve">Если на проверку направляется несколько независимых гарантий по 1 договору, критерием является их общая сумма.</w:t>
      </w:r>
      <w:r>
        <w:rPr>
          <w:rFonts w:ascii="Times New Roman" w:hAnsi="Times New Roman" w:cs="Times New Roman"/>
        </w:rPr>
      </w:r>
    </w:p>
  </w:footnote>
  <w:footnote w:id="14">
    <w:p>
      <w:pPr>
        <w:pStyle w:val="1331"/>
      </w:pPr>
      <w:r>
        <w:rPr>
          <w:rStyle w:val="1333"/>
        </w:rPr>
        <w:footnoteRef/>
      </w:r>
      <w:r>
        <w:t xml:space="preserve"> </w:t>
      </w:r>
      <w:r>
        <w:rPr>
          <w:rFonts w:ascii="Times New Roman" w:hAnsi="Times New Roman" w:cs="Times New Roman"/>
        </w:rPr>
        <w:t xml:space="preserve">Предоставляется в тех случаях, когда гарант является кредитной организацией.</w:t>
      </w:r>
      <w:r/>
    </w:p>
  </w:footnote>
  <w:footnote w:id="15">
    <w:p>
      <w:pPr>
        <w:pStyle w:val="1331"/>
        <w:jc w:val="both"/>
        <w:rPr>
          <w:rFonts w:ascii="Times New Roman" w:hAnsi="Times New Roman" w:cs="Times New Roman"/>
        </w:rPr>
      </w:pPr>
      <w:r>
        <w:rPr>
          <w:rStyle w:val="1333"/>
        </w:rPr>
        <w:footnoteRef/>
      </w:r>
      <w:r>
        <w:t xml:space="preserve"> </w:t>
      </w:r>
      <w:r>
        <w:rPr>
          <w:rFonts w:ascii="Times New Roman" w:hAnsi="Times New Roman" w:cs="Times New Roman"/>
        </w:rPr>
        <w:t xml:space="preserve">Если на проверку направляется несколько независимых гарантий по </w:t>
      </w:r>
      <w:r>
        <w:rPr>
          <w:rFonts w:ascii="Times New Roman" w:hAnsi="Times New Roman" w:cs="Times New Roman"/>
        </w:rPr>
        <w:t xml:space="preserve">1 договору, критерием является их общая сумма.</w:t>
      </w:r>
      <w:r>
        <w:rPr>
          <w:rFonts w:ascii="Times New Roman" w:hAnsi="Times New Roman" w:cs="Times New Roman"/>
        </w:rPr>
      </w:r>
    </w:p>
  </w:footnote>
  <w:footnote w:id="16">
    <w:p>
      <w:pPr>
        <w:pStyle w:val="1331"/>
        <w:jc w:val="both"/>
      </w:pPr>
      <w:r>
        <w:rPr>
          <w:rStyle w:val="1333"/>
        </w:rPr>
        <w:footnoteRef/>
      </w:r>
      <w:r>
        <w:t xml:space="preserve"> </w:t>
      </w:r>
      <w:r>
        <w:rPr>
          <w:rFonts w:ascii="Times New Roman" w:hAnsi="Times New Roman"/>
        </w:rPr>
        <w:t xml:space="preserve">Не являются обязательными к предоставлению для целей принятия независимой гарантии, выданной Гарантом в рамках договора, заключаемого по результатам закупки, которая относится к конкурентной закупке с участи</w:t>
      </w:r>
      <w:r>
        <w:rPr>
          <w:rFonts w:ascii="Times New Roman" w:hAnsi="Times New Roman"/>
        </w:rPr>
        <w:t xml:space="preserve">ем субъектов малого и среднего предпринимательства, извещение об осуществлении которой размещено в единой информационной системе либо приглашение принять участие в которой направлено после вступления в силу Федерального закона от 16.04.2022 N 109-ФЗ «О вне</w:t>
      </w:r>
      <w:r>
        <w:rPr>
          <w:rFonts w:ascii="Times New Roman" w:hAnsi="Times New Roman"/>
        </w:rPr>
        <w:t xml:space="preserve">сении изменений в Федеральный закон «О закупках товаров, работ, услуг отдельными видами юридических лиц» и статью 45 Федерального закона «О контрактной системе в сфере закупок товаров, работ, услуг для обеспечения государственных и муниципальных нужд».</w:t>
      </w:r>
      <w:r/>
    </w:p>
  </w:footnote>
  <w:footnote w:id="17">
    <w:p>
      <w:pPr>
        <w:pStyle w:val="1331"/>
      </w:pPr>
      <w:r>
        <w:rPr>
          <w:rStyle w:val="1333"/>
        </w:rPr>
        <w:footnoteRef/>
      </w:r>
      <w:r>
        <w:rPr>
          <w:rFonts w:ascii="Times New Roman" w:hAnsi="Times New Roman"/>
        </w:rPr>
        <w:t xml:space="preserve"> П</w:t>
      </w:r>
      <w:r>
        <w:rPr>
          <w:rFonts w:ascii="Times New Roman" w:hAnsi="Times New Roman"/>
        </w:rPr>
        <w:t xml:space="preserve">рименяется в тех случаях, когда Гарант является кредитной организацией.</w:t>
      </w:r>
      <w:r/>
    </w:p>
  </w:footnote>
  <w:footnote w:id="18">
    <w:p>
      <w:pPr>
        <w:pStyle w:val="1331"/>
        <w:rPr>
          <w:rFonts w:ascii="Times New Roman" w:hAnsi="Times New Roman"/>
        </w:rPr>
      </w:pPr>
      <w:r>
        <w:rPr>
          <w:rStyle w:val="1333"/>
        </w:rPr>
        <w:footnoteRef/>
      </w:r>
      <w:r>
        <w:t xml:space="preserve"> </w:t>
      </w:r>
      <w:r>
        <w:rPr>
          <w:rFonts w:ascii="Times New Roman" w:hAnsi="Times New Roman"/>
        </w:rPr>
        <w:t xml:space="preserve">В части гарантов, предоставивших независимые гарантии в рамках договора, заключаемого по результатам конкурентной закупки, участниками которой могут быть только субъекты малого и сре</w:t>
      </w:r>
      <w:r>
        <w:rPr>
          <w:rFonts w:ascii="Times New Roman" w:hAnsi="Times New Roman"/>
        </w:rPr>
        <w:t xml:space="preserve">днего предпринимательства, извещение об осуществлении которой размещено в единой информационной системе в сфере закупок начиная с 01.07.2022, - Покупатель вправе потребовать замену гарантии в случае, если гарант исключен из перечня, предусмотренного частью</w:t>
      </w:r>
      <w:r>
        <w:rPr>
          <w:rFonts w:ascii="Times New Roman" w:hAnsi="Times New Roman"/>
        </w:rPr>
        <w:t xml:space="preserve"> 1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w:t>
      </w:r>
      <w:r>
        <w:rPr>
          <w:rFonts w:ascii="Times New Roman" w:hAnsi="Times New Roman"/>
        </w:rP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sdt>
    <w:sdtPr>
      <w15:appearance w15:val="boundingBox"/>
      <w:id w:val="735054312"/>
      <w:docPartObj>
        <w:docPartGallery w:val="Page Numbers (Top of Page)"/>
        <w:docPartUnique w:val="true"/>
      </w:docPartObj>
      <w:rPr>
        <w:rFonts w:ascii="Times New Roman" w:hAnsi="Times New Roman" w:cs="Times New Roman"/>
      </w:rPr>
    </w:sdtPr>
    <w:sdtContent>
      <w:p>
        <w:pPr>
          <w:pStyle w:val="1352"/>
          <w:jc w:val="center"/>
          <w:rPr>
            <w:rFonts w:ascii="Times New Roman" w:hAnsi="Times New Roman" w:cs="Times New Roman"/>
          </w:rPr>
        </w:pPr>
        <w:r>
          <w:rPr>
            <w:rFonts w:ascii="Times New Roman" w:hAnsi="Times New Roman" w:cs="Times New Roman"/>
            <w:sz w:val="24"/>
          </w:rPr>
          <w:fldChar w:fldCharType="begin"/>
        </w:r>
        <w:r>
          <w:rPr>
            <w:rFonts w:ascii="Times New Roman" w:hAnsi="Times New Roman" w:cs="Times New Roman"/>
            <w:sz w:val="24"/>
          </w:rPr>
          <w:instrText xml:space="preserve">PAGE   \* MERGEFORMAT</w:instrText>
        </w:r>
        <w:r>
          <w:rPr>
            <w:rFonts w:ascii="Times New Roman" w:hAnsi="Times New Roman" w:cs="Times New Roman"/>
            <w:sz w:val="24"/>
          </w:rPr>
          <w:fldChar w:fldCharType="separate"/>
        </w:r>
        <w:r>
          <w:rPr>
            <w:rFonts w:ascii="Times New Roman" w:hAnsi="Times New Roman" w:cs="Times New Roman"/>
            <w:sz w:val="24"/>
          </w:rPr>
          <w:t xml:space="preserve">28</w:t>
        </w:r>
        <w:r>
          <w:rPr>
            <w:rFonts w:ascii="Times New Roman" w:hAnsi="Times New Roman" w:cs="Times New Roman"/>
            <w:sz w:val="24"/>
          </w:rPr>
          <w:fldChar w:fldCharType="end"/>
        </w:r>
        <w:r>
          <w:rPr>
            <w:rFonts w:ascii="Times New Roman" w:hAnsi="Times New Roman" w:cs="Times New Roman"/>
          </w:rPr>
        </w:r>
      </w:p>
    </w:sdtContent>
  </w:sdt>
  <w:p>
    <w: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352"/>
      <w:jc w:val="center"/>
    </w:pPr>
    <w:r>
      <w:t xml:space="preserve">91</w:t>
    </w: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multiLevelType w:val="hybridMultilevel"/>
    <w:styleLink w:val="1340"/>
    <w:lvl w:ilvl="0">
      <w:start w:val="1"/>
      <w:numFmt w:val="bullet"/>
      <w:pStyle w:val="1340"/>
      <w:isLgl w:val="false"/>
      <w:suff w:val="tab"/>
      <w:lvlText w:val="−"/>
      <w:lvlJc w:val="left"/>
      <w:pPr>
        <w:ind w:left="1152" w:firstLine="277"/>
        <w:tabs>
          <w:tab w:val="left" w:pos="1080" w:leader="none"/>
          <w:tab w:val="num" w:pos="1861" w:leader="none"/>
        </w:tabs>
      </w:pPr>
      <w:rPr>
        <w:rFonts w:ascii="Symbol" w:hAnsi="Symbol" w:eastAsia="Symbol" w:cs="Symbol"/>
        <w:b w:val="0"/>
        <w:bCs w:val="0"/>
        <w:i w:val="0"/>
        <w:iCs w:val="0"/>
        <w:caps w:val="0"/>
        <w:smallCaps w:val="0"/>
        <w:strike w:val="0"/>
        <w:color w:val="000000"/>
        <w:spacing w:val="0"/>
        <w:position w:val="0"/>
        <w:highlight w:val="none"/>
        <w:vertAlign w:val="baseline"/>
      </w:rPr>
    </w:lvl>
    <w:lvl w:ilvl="1">
      <w:start w:val="1"/>
      <w:numFmt w:val="bullet"/>
      <w:isLgl w:val="false"/>
      <w:suff w:val="tab"/>
      <w:lvlText w:val="−"/>
      <w:lvlJc w:val="left"/>
      <w:pPr>
        <w:ind w:left="371" w:firstLine="338"/>
        <w:tabs>
          <w:tab w:val="num" w:pos="1080" w:leader="none"/>
        </w:tabs>
      </w:pPr>
      <w:rPr>
        <w:rFonts w:ascii="Symbol" w:hAnsi="Symbol" w:eastAsia="Symbol" w:cs="Symbol"/>
        <w:b w:val="0"/>
        <w:bCs w:val="0"/>
        <w:i w:val="0"/>
        <w:iCs w:val="0"/>
        <w:caps w:val="0"/>
        <w:smallCaps w:val="0"/>
        <w:strike w:val="0"/>
        <w:color w:val="000000"/>
        <w:spacing w:val="0"/>
        <w:position w:val="0"/>
        <w:highlight w:val="none"/>
        <w:vertAlign w:val="baseline"/>
      </w:rPr>
    </w:lvl>
    <w:lvl w:ilvl="2">
      <w:start w:val="1"/>
      <w:numFmt w:val="bullet"/>
      <w:isLgl w:val="false"/>
      <w:suff w:val="tab"/>
      <w:lvlText w:val="−"/>
      <w:lvlJc w:val="left"/>
      <w:pPr>
        <w:ind w:left="371" w:firstLine="338"/>
        <w:tabs>
          <w:tab w:val="num" w:pos="1080" w:leader="none"/>
        </w:tabs>
      </w:pPr>
      <w:rPr>
        <w:rFonts w:ascii="Symbol" w:hAnsi="Symbol" w:eastAsia="Symbol" w:cs="Symbol"/>
        <w:b w:val="0"/>
        <w:bCs w:val="0"/>
        <w:i w:val="0"/>
        <w:iCs w:val="0"/>
        <w:caps w:val="0"/>
        <w:smallCaps w:val="0"/>
        <w:strike w:val="0"/>
        <w:color w:val="000000"/>
        <w:spacing w:val="0"/>
        <w:position w:val="0"/>
        <w:highlight w:val="none"/>
        <w:vertAlign w:val="baseline"/>
      </w:rPr>
    </w:lvl>
    <w:lvl w:ilvl="3">
      <w:start w:val="1"/>
      <w:numFmt w:val="bullet"/>
      <w:isLgl w:val="false"/>
      <w:suff w:val="tab"/>
      <w:lvlText w:val="−"/>
      <w:lvlJc w:val="left"/>
      <w:pPr>
        <w:ind w:left="371" w:firstLine="338"/>
        <w:tabs>
          <w:tab w:val="num" w:pos="1080" w:leader="none"/>
        </w:tabs>
      </w:pPr>
      <w:rPr>
        <w:rFonts w:ascii="Symbol" w:hAnsi="Symbol" w:eastAsia="Symbol" w:cs="Symbol"/>
        <w:b w:val="0"/>
        <w:bCs w:val="0"/>
        <w:i w:val="0"/>
        <w:iCs w:val="0"/>
        <w:caps w:val="0"/>
        <w:smallCaps w:val="0"/>
        <w:strike w:val="0"/>
        <w:color w:val="000000"/>
        <w:spacing w:val="0"/>
        <w:position w:val="0"/>
        <w:highlight w:val="none"/>
        <w:vertAlign w:val="baseline"/>
      </w:rPr>
    </w:lvl>
    <w:lvl w:ilvl="4">
      <w:start w:val="1"/>
      <w:numFmt w:val="bullet"/>
      <w:isLgl w:val="false"/>
      <w:suff w:val="tab"/>
      <w:lvlText w:val="−"/>
      <w:lvlJc w:val="left"/>
      <w:pPr>
        <w:ind w:left="371" w:firstLine="338"/>
        <w:tabs>
          <w:tab w:val="num" w:pos="1080" w:leader="none"/>
        </w:tabs>
      </w:pPr>
      <w:rPr>
        <w:rFonts w:ascii="Symbol" w:hAnsi="Symbol" w:eastAsia="Symbol" w:cs="Symbol"/>
        <w:b w:val="0"/>
        <w:bCs w:val="0"/>
        <w:i w:val="0"/>
        <w:iCs w:val="0"/>
        <w:caps w:val="0"/>
        <w:smallCaps w:val="0"/>
        <w:strike w:val="0"/>
        <w:color w:val="000000"/>
        <w:spacing w:val="0"/>
        <w:position w:val="0"/>
        <w:highlight w:val="none"/>
        <w:vertAlign w:val="baseline"/>
      </w:rPr>
    </w:lvl>
    <w:lvl w:ilvl="5">
      <w:start w:val="1"/>
      <w:numFmt w:val="bullet"/>
      <w:isLgl w:val="false"/>
      <w:suff w:val="tab"/>
      <w:lvlText w:val="−"/>
      <w:lvlJc w:val="left"/>
      <w:pPr>
        <w:ind w:left="371" w:firstLine="338"/>
        <w:tabs>
          <w:tab w:val="num" w:pos="1080" w:leader="none"/>
        </w:tabs>
      </w:pPr>
      <w:rPr>
        <w:rFonts w:ascii="Symbol" w:hAnsi="Symbol" w:eastAsia="Symbol" w:cs="Symbol"/>
        <w:b w:val="0"/>
        <w:bCs w:val="0"/>
        <w:i w:val="0"/>
        <w:iCs w:val="0"/>
        <w:caps w:val="0"/>
        <w:smallCaps w:val="0"/>
        <w:strike w:val="0"/>
        <w:color w:val="000000"/>
        <w:spacing w:val="0"/>
        <w:position w:val="0"/>
        <w:highlight w:val="none"/>
        <w:vertAlign w:val="baseline"/>
      </w:rPr>
    </w:lvl>
    <w:lvl w:ilvl="6">
      <w:start w:val="1"/>
      <w:numFmt w:val="bullet"/>
      <w:isLgl w:val="false"/>
      <w:suff w:val="tab"/>
      <w:lvlText w:val="−"/>
      <w:lvlJc w:val="left"/>
      <w:pPr>
        <w:ind w:left="371" w:firstLine="338"/>
        <w:tabs>
          <w:tab w:val="num" w:pos="1080" w:leader="none"/>
        </w:tabs>
      </w:pPr>
      <w:rPr>
        <w:rFonts w:ascii="Symbol" w:hAnsi="Symbol" w:eastAsia="Symbol" w:cs="Symbol"/>
        <w:b w:val="0"/>
        <w:bCs w:val="0"/>
        <w:i w:val="0"/>
        <w:iCs w:val="0"/>
        <w:caps w:val="0"/>
        <w:smallCaps w:val="0"/>
        <w:strike w:val="0"/>
        <w:color w:val="000000"/>
        <w:spacing w:val="0"/>
        <w:position w:val="0"/>
        <w:highlight w:val="none"/>
        <w:vertAlign w:val="baseline"/>
      </w:rPr>
    </w:lvl>
    <w:lvl w:ilvl="7">
      <w:start w:val="1"/>
      <w:numFmt w:val="bullet"/>
      <w:isLgl w:val="false"/>
      <w:suff w:val="tab"/>
      <w:lvlText w:val="−"/>
      <w:lvlJc w:val="left"/>
      <w:pPr>
        <w:ind w:left="371" w:firstLine="338"/>
        <w:tabs>
          <w:tab w:val="num" w:pos="1080" w:leader="none"/>
        </w:tabs>
      </w:pPr>
      <w:rPr>
        <w:rFonts w:ascii="Symbol" w:hAnsi="Symbol" w:eastAsia="Symbol" w:cs="Symbol"/>
        <w:b w:val="0"/>
        <w:bCs w:val="0"/>
        <w:i w:val="0"/>
        <w:iCs w:val="0"/>
        <w:caps w:val="0"/>
        <w:smallCaps w:val="0"/>
        <w:strike w:val="0"/>
        <w:color w:val="000000"/>
        <w:spacing w:val="0"/>
        <w:position w:val="0"/>
        <w:highlight w:val="none"/>
        <w:vertAlign w:val="baseline"/>
      </w:rPr>
    </w:lvl>
    <w:lvl w:ilvl="8">
      <w:start w:val="1"/>
      <w:numFmt w:val="bullet"/>
      <w:isLgl w:val="false"/>
      <w:suff w:val="tab"/>
      <w:lvlText w:val="−"/>
      <w:lvlJc w:val="left"/>
      <w:pPr>
        <w:ind w:left="371" w:firstLine="338"/>
        <w:tabs>
          <w:tab w:val="num" w:pos="1080" w:leader="none"/>
        </w:tabs>
      </w:pPr>
      <w:rPr>
        <w:rFonts w:ascii="Symbol" w:hAnsi="Symbol" w:eastAsia="Symbol" w:cs="Symbol"/>
        <w:b w:val="0"/>
        <w:bCs w:val="0"/>
        <w:i w:val="0"/>
        <w:iCs w:val="0"/>
        <w:caps w:val="0"/>
        <w:smallCaps w:val="0"/>
        <w:strike w:val="0"/>
        <w:color w:val="000000"/>
        <w:spacing w:val="0"/>
        <w:position w:val="0"/>
        <w:highlight w:val="none"/>
        <w:vertAlign w:val="baseline"/>
      </w:rPr>
    </w:lvl>
  </w:abstractNum>
  <w:abstractNum w:abstractNumId="1">
    <w:multiLevelType w:val="hybridMultilevel"/>
    <w:lvl w:ilvl="0">
      <w:start w:val="1"/>
      <w:numFmt w:val="decimal"/>
      <w:isLgl w:val="false"/>
      <w:suff w:val="tab"/>
      <w:lvlText w:val="%1."/>
      <w:lvlJc w:val="left"/>
      <w:pPr>
        <w:ind w:left="360" w:hanging="360"/>
        <w:tabs>
          <w:tab w:val="num" w:pos="360" w:leader="none"/>
        </w:tabs>
      </w:pPr>
      <w:rPr>
        <w:rFonts w:cs="Times New Roman"/>
      </w:rPr>
    </w:lvl>
    <w:lvl w:ilvl="1">
      <w:start w:val="1"/>
      <w:numFmt w:val="decimal"/>
      <w:isLgl w:val="false"/>
      <w:suff w:val="tab"/>
      <w:lvlText w:val="%1.%2."/>
      <w:lvlJc w:val="left"/>
      <w:pPr>
        <w:ind w:left="1260" w:hanging="720"/>
        <w:tabs>
          <w:tab w:val="num" w:pos="1260" w:leader="none"/>
        </w:tabs>
      </w:pPr>
      <w:rPr>
        <w:rFonts w:cs="Times New Roman"/>
        <w:b/>
      </w:rPr>
    </w:lvl>
    <w:lvl w:ilvl="2">
      <w:start w:val="1"/>
      <w:numFmt w:val="decimal"/>
      <w:isLgl w:val="false"/>
      <w:suff w:val="tab"/>
      <w:lvlText w:val="%1.%2.%3."/>
      <w:lvlJc w:val="left"/>
      <w:pPr>
        <w:ind w:left="2160" w:hanging="720"/>
        <w:tabs>
          <w:tab w:val="num" w:pos="2160" w:leader="none"/>
        </w:tabs>
      </w:pPr>
      <w:rPr>
        <w:rFonts w:cs="Times New Roman"/>
      </w:rPr>
    </w:lvl>
    <w:lvl w:ilvl="3">
      <w:start w:val="1"/>
      <w:numFmt w:val="decimal"/>
      <w:isLgl w:val="false"/>
      <w:suff w:val="tab"/>
      <w:lvlText w:val="%1.%2.%3.%4."/>
      <w:lvlJc w:val="left"/>
      <w:pPr>
        <w:ind w:left="3240" w:hanging="1080"/>
        <w:tabs>
          <w:tab w:val="num" w:pos="3240" w:leader="none"/>
        </w:tabs>
      </w:pPr>
      <w:rPr>
        <w:rFonts w:cs="Times New Roman"/>
      </w:rPr>
    </w:lvl>
    <w:lvl w:ilvl="4">
      <w:start w:val="1"/>
      <w:numFmt w:val="bullet"/>
      <w:isLgl w:val="false"/>
      <w:suff w:val="tab"/>
      <w:lvlText w:val=""/>
      <w:lvlJc w:val="left"/>
      <w:pPr>
        <w:ind w:left="3960" w:hanging="1080"/>
        <w:tabs>
          <w:tab w:val="num" w:pos="3960" w:leader="none"/>
        </w:tabs>
      </w:pPr>
      <w:rPr>
        <w:rFonts w:hint="default" w:ascii="Symbol" w:hAnsi="Symbol"/>
      </w:rPr>
    </w:lvl>
    <w:lvl w:ilvl="5">
      <w:start w:val="1"/>
      <w:numFmt w:val="decimal"/>
      <w:isLgl w:val="false"/>
      <w:suff w:val="tab"/>
      <w:lvlText w:val="%1.%2.%3.%4.%5.%6."/>
      <w:lvlJc w:val="left"/>
      <w:pPr>
        <w:ind w:left="5040" w:hanging="1440"/>
        <w:tabs>
          <w:tab w:val="num" w:pos="5040" w:leader="none"/>
        </w:tabs>
      </w:pPr>
      <w:rPr>
        <w:rFonts w:cs="Times New Roman"/>
      </w:rPr>
    </w:lvl>
    <w:lvl w:ilvl="6">
      <w:start w:val="1"/>
      <w:numFmt w:val="decimal"/>
      <w:isLgl w:val="false"/>
      <w:suff w:val="tab"/>
      <w:lvlText w:val="%1.%2.%3.%4.%5.%6.%7."/>
      <w:lvlJc w:val="left"/>
      <w:pPr>
        <w:ind w:left="6120" w:hanging="1800"/>
        <w:tabs>
          <w:tab w:val="num" w:pos="6120" w:leader="none"/>
        </w:tabs>
      </w:pPr>
      <w:rPr>
        <w:rFonts w:cs="Times New Roman"/>
      </w:rPr>
    </w:lvl>
    <w:lvl w:ilvl="7">
      <w:start w:val="1"/>
      <w:numFmt w:val="decimal"/>
      <w:isLgl w:val="false"/>
      <w:suff w:val="tab"/>
      <w:lvlText w:val="%1.%2.%3.%4.%5.%6.%7.%8."/>
      <w:lvlJc w:val="left"/>
      <w:pPr>
        <w:ind w:left="6840" w:hanging="1800"/>
        <w:tabs>
          <w:tab w:val="num" w:pos="6840" w:leader="none"/>
        </w:tabs>
      </w:pPr>
      <w:rPr>
        <w:rFonts w:cs="Times New Roman"/>
      </w:rPr>
    </w:lvl>
    <w:lvl w:ilvl="8">
      <w:start w:val="1"/>
      <w:numFmt w:val="decimal"/>
      <w:isLgl w:val="false"/>
      <w:suff w:val="tab"/>
      <w:lvlText w:val="%1.%2.%3.%4.%5.%6.%7.%8.%9."/>
      <w:lvlJc w:val="left"/>
      <w:pPr>
        <w:ind w:left="7920" w:hanging="2160"/>
        <w:tabs>
          <w:tab w:val="num" w:pos="7920" w:leader="none"/>
        </w:tabs>
      </w:pPr>
      <w:rPr>
        <w:rFonts w:cs="Times New Roman"/>
      </w:rPr>
    </w:lvl>
  </w:abstractNum>
  <w:abstractNum w:abstractNumId="2">
    <w:multiLevelType w:val="hybridMultilevel"/>
    <w:lvl w:ilvl="0">
      <w:start w:val="1"/>
      <w:numFmt w:val="bullet"/>
      <w:isLgl w:val="false"/>
      <w:suff w:val="tab"/>
      <w:lvlText w:val=""/>
      <w:lvlJc w:val="left"/>
      <w:pPr>
        <w:ind w:left="720" w:hanging="360"/>
      </w:pPr>
      <w:rPr>
        <w:rFonts w:hint="default" w:ascii="Symbol" w:hAnsi="Symbol"/>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3">
    <w:multiLevelType w:val="hybridMultilevel"/>
    <w:styleLink w:val="1336"/>
    <w:lvl w:ilvl="0">
      <w:start w:val="1"/>
      <w:numFmt w:val="bullet"/>
      <w:pStyle w:val="1336"/>
      <w:isLgl w:val="false"/>
      <w:suff w:val="tab"/>
      <w:lvlText w:val="•"/>
      <w:lvlJc w:val="left"/>
      <w:pPr>
        <w:ind w:left="1429" w:hanging="360"/>
      </w:pPr>
      <w:rPr>
        <w:rFonts w:ascii="Symbol" w:hAnsi="Symbol" w:eastAsia="Symbol" w:cs="Symbol"/>
        <w:b w:val="0"/>
        <w:bCs w:val="0"/>
        <w:i w:val="0"/>
        <w:iCs w:val="0"/>
        <w:caps w:val="0"/>
        <w:smallCaps w:val="0"/>
        <w:strike w:val="0"/>
        <w:color w:val="000000"/>
        <w:spacing w:val="0"/>
        <w:position w:val="0"/>
        <w:highlight w:val="none"/>
        <w:vertAlign w:val="baseline"/>
      </w:rPr>
    </w:lvl>
    <w:lvl w:ilvl="1">
      <w:start w:val="1"/>
      <w:numFmt w:val="bullet"/>
      <w:isLgl w:val="false"/>
      <w:suff w:val="tab"/>
      <w:lvlText w:val="o"/>
      <w:lvlJc w:val="left"/>
      <w:pPr>
        <w:ind w:left="2149" w:hanging="360"/>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lvl w:ilvl="2">
      <w:start w:val="1"/>
      <w:numFmt w:val="bullet"/>
      <w:isLgl w:val="false"/>
      <w:suff w:val="tab"/>
      <w:lvlText w:val="▪"/>
      <w:lvlJc w:val="left"/>
      <w:pPr>
        <w:ind w:left="2869" w:hanging="360"/>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lvl w:ilvl="3">
      <w:start w:val="1"/>
      <w:numFmt w:val="bullet"/>
      <w:isLgl w:val="false"/>
      <w:suff w:val="tab"/>
      <w:lvlText w:val="•"/>
      <w:lvlJc w:val="left"/>
      <w:pPr>
        <w:ind w:left="3589" w:hanging="360"/>
      </w:pPr>
      <w:rPr>
        <w:rFonts w:ascii="Symbol" w:hAnsi="Symbol" w:eastAsia="Symbol" w:cs="Symbol"/>
        <w:b w:val="0"/>
        <w:bCs w:val="0"/>
        <w:i w:val="0"/>
        <w:iCs w:val="0"/>
        <w:caps w:val="0"/>
        <w:smallCaps w:val="0"/>
        <w:strike w:val="0"/>
        <w:color w:val="000000"/>
        <w:spacing w:val="0"/>
        <w:position w:val="0"/>
        <w:highlight w:val="none"/>
        <w:vertAlign w:val="baseline"/>
      </w:rPr>
    </w:lvl>
    <w:lvl w:ilvl="4">
      <w:start w:val="1"/>
      <w:numFmt w:val="bullet"/>
      <w:isLgl w:val="false"/>
      <w:suff w:val="tab"/>
      <w:lvlText w:val="o"/>
      <w:lvlJc w:val="left"/>
      <w:pPr>
        <w:ind w:left="4309" w:hanging="360"/>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lvl w:ilvl="5">
      <w:start w:val="1"/>
      <w:numFmt w:val="bullet"/>
      <w:isLgl w:val="false"/>
      <w:suff w:val="tab"/>
      <w:lvlText w:val="▪"/>
      <w:lvlJc w:val="left"/>
      <w:pPr>
        <w:ind w:left="5029" w:hanging="360"/>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lvl w:ilvl="6">
      <w:start w:val="1"/>
      <w:numFmt w:val="bullet"/>
      <w:isLgl w:val="false"/>
      <w:suff w:val="tab"/>
      <w:lvlText w:val="•"/>
      <w:lvlJc w:val="left"/>
      <w:pPr>
        <w:ind w:left="5749" w:hanging="360"/>
      </w:pPr>
      <w:rPr>
        <w:rFonts w:ascii="Symbol" w:hAnsi="Symbol" w:eastAsia="Symbol" w:cs="Symbol"/>
        <w:b w:val="0"/>
        <w:bCs w:val="0"/>
        <w:i w:val="0"/>
        <w:iCs w:val="0"/>
        <w:caps w:val="0"/>
        <w:smallCaps w:val="0"/>
        <w:strike w:val="0"/>
        <w:color w:val="000000"/>
        <w:spacing w:val="0"/>
        <w:position w:val="0"/>
        <w:highlight w:val="none"/>
        <w:vertAlign w:val="baseline"/>
      </w:rPr>
    </w:lvl>
    <w:lvl w:ilvl="7">
      <w:start w:val="1"/>
      <w:numFmt w:val="bullet"/>
      <w:isLgl w:val="false"/>
      <w:suff w:val="tab"/>
      <w:lvlText w:val="o"/>
      <w:lvlJc w:val="left"/>
      <w:pPr>
        <w:ind w:left="6469" w:hanging="360"/>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lvl w:ilvl="8">
      <w:start w:val="1"/>
      <w:numFmt w:val="bullet"/>
      <w:isLgl w:val="false"/>
      <w:suff w:val="tab"/>
      <w:lvlText w:val="▪"/>
      <w:lvlJc w:val="left"/>
      <w:pPr>
        <w:ind w:left="7189" w:hanging="360"/>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abstractNum>
  <w:abstractNum w:abstractNumId="4">
    <w:multiLevelType w:val="hybridMultilevel"/>
    <w:lvl w:ilvl="0">
      <w:start w:val="2"/>
      <w:numFmt w:val="decimal"/>
      <w:isLgl w:val="false"/>
      <w:suff w:val="tab"/>
      <w:lvlText w:val="%1."/>
      <w:lvlJc w:val="left"/>
      <w:pPr>
        <w:ind w:left="360" w:hanging="360"/>
      </w:pPr>
      <w:rPr>
        <w:rFonts w:hint="default"/>
      </w:rPr>
    </w:lvl>
    <w:lvl w:ilvl="1">
      <w:start w:val="2"/>
      <w:numFmt w:val="decimal"/>
      <w:isLgl w:val="false"/>
      <w:suff w:val="tab"/>
      <w:lvlText w:val="%1.%2."/>
      <w:lvlJc w:val="left"/>
      <w:pPr>
        <w:ind w:left="360" w:hanging="360"/>
      </w:pPr>
      <w:rPr>
        <w:rFonts w:hint="default"/>
      </w:rPr>
    </w:lvl>
    <w:lvl w:ilvl="2">
      <w:start w:val="1"/>
      <w:numFmt w:val="decimal"/>
      <w:isLgl w:val="false"/>
      <w:suff w:val="tab"/>
      <w:lvlText w:val="%1.%2.%3."/>
      <w:lvlJc w:val="left"/>
      <w:pPr>
        <w:ind w:left="720" w:hanging="720"/>
      </w:pPr>
      <w:rPr>
        <w:rFonts w:hint="default"/>
      </w:rPr>
    </w:lvl>
    <w:lvl w:ilvl="3">
      <w:start w:val="1"/>
      <w:numFmt w:val="decimal"/>
      <w:isLgl w:val="false"/>
      <w:suff w:val="tab"/>
      <w:lvlText w:val="%1.%2.%3.%4."/>
      <w:lvlJc w:val="left"/>
      <w:pPr>
        <w:ind w:left="720" w:hanging="720"/>
      </w:pPr>
      <w:rPr>
        <w:rFonts w:hint="default"/>
      </w:rPr>
    </w:lvl>
    <w:lvl w:ilvl="4">
      <w:start w:val="1"/>
      <w:numFmt w:val="decimal"/>
      <w:isLgl w:val="false"/>
      <w:suff w:val="tab"/>
      <w:lvlText w:val="%1.%2.%3.%4.%5."/>
      <w:lvlJc w:val="left"/>
      <w:pPr>
        <w:ind w:left="1080" w:hanging="1080"/>
      </w:pPr>
      <w:rPr>
        <w:rFonts w:hint="default"/>
      </w:rPr>
    </w:lvl>
    <w:lvl w:ilvl="5">
      <w:start w:val="1"/>
      <w:numFmt w:val="decimal"/>
      <w:isLgl w:val="false"/>
      <w:suff w:val="tab"/>
      <w:lvlText w:val="%1.%2.%3.%4.%5.%6."/>
      <w:lvlJc w:val="left"/>
      <w:pPr>
        <w:ind w:left="1080" w:hanging="1080"/>
      </w:pPr>
      <w:rPr>
        <w:rFonts w:hint="default"/>
      </w:rPr>
    </w:lvl>
    <w:lvl w:ilvl="6">
      <w:start w:val="1"/>
      <w:numFmt w:val="decimal"/>
      <w:isLgl w:val="false"/>
      <w:suff w:val="tab"/>
      <w:lvlText w:val="%1.%2.%3.%4.%5.%6.%7."/>
      <w:lvlJc w:val="left"/>
      <w:pPr>
        <w:ind w:left="1440" w:hanging="1440"/>
      </w:pPr>
      <w:rPr>
        <w:rFonts w:hint="default"/>
      </w:rPr>
    </w:lvl>
    <w:lvl w:ilvl="7">
      <w:start w:val="1"/>
      <w:numFmt w:val="decimal"/>
      <w:isLgl w:val="false"/>
      <w:suff w:val="tab"/>
      <w:lvlText w:val="%1.%2.%3.%4.%5.%6.%7.%8."/>
      <w:lvlJc w:val="left"/>
      <w:pPr>
        <w:ind w:left="1440" w:hanging="1440"/>
      </w:pPr>
      <w:rPr>
        <w:rFonts w:hint="default"/>
      </w:rPr>
    </w:lvl>
    <w:lvl w:ilvl="8">
      <w:start w:val="1"/>
      <w:numFmt w:val="decimal"/>
      <w:isLgl w:val="false"/>
      <w:suff w:val="tab"/>
      <w:lvlText w:val="%1.%2.%3.%4.%5.%6.%7.%8.%9."/>
      <w:lvlJc w:val="left"/>
      <w:pPr>
        <w:ind w:left="1800" w:hanging="1800"/>
      </w:pPr>
      <w:rPr>
        <w:rFonts w:hint="default"/>
      </w:rPr>
    </w:lvl>
  </w:abstractNum>
  <w:abstractNum w:abstractNumId="5">
    <w:multiLevelType w:val="hybridMultilevel"/>
    <w:lvl w:ilvl="0">
      <w:start w:val="3"/>
      <w:numFmt w:val="decimal"/>
      <w:isLgl w:val="false"/>
      <w:suff w:val="tab"/>
      <w:lvlText w:val="%1."/>
      <w:lvlJc w:val="left"/>
      <w:pPr>
        <w:ind w:left="720" w:hanging="720"/>
      </w:pPr>
      <w:rPr>
        <w:rFonts w:hint="default" w:cs="Times New Roman"/>
      </w:rPr>
    </w:lvl>
    <w:lvl w:ilvl="1">
      <w:start w:val="1"/>
      <w:numFmt w:val="decimal"/>
      <w:isLgl w:val="false"/>
      <w:suff w:val="tab"/>
      <w:lvlText w:val="%1.%2."/>
      <w:lvlJc w:val="left"/>
      <w:pPr>
        <w:ind w:left="1440" w:hanging="1080"/>
      </w:pPr>
      <w:rPr>
        <w:rFonts w:hint="default" w:cs="Times New Roman"/>
      </w:rPr>
    </w:lvl>
    <w:lvl w:ilvl="2">
      <w:start w:val="1"/>
      <w:numFmt w:val="decimal"/>
      <w:isLgl w:val="false"/>
      <w:suff w:val="tab"/>
      <w:lvlText w:val="%1.%2.%3."/>
      <w:lvlJc w:val="left"/>
      <w:pPr>
        <w:ind w:left="1506" w:hanging="1080"/>
      </w:pPr>
      <w:rPr>
        <w:rFonts w:hint="default" w:cs="Times New Roman"/>
      </w:rPr>
    </w:lvl>
    <w:lvl w:ilvl="3">
      <w:start w:val="1"/>
      <w:numFmt w:val="decimal"/>
      <w:isLgl w:val="false"/>
      <w:suff w:val="tab"/>
      <w:lvlText w:val="%1.%2.%3.%4."/>
      <w:lvlJc w:val="left"/>
      <w:pPr>
        <w:ind w:left="2008" w:hanging="1440"/>
      </w:pPr>
      <w:rPr>
        <w:rFonts w:hint="default" w:cs="Times New Roman"/>
      </w:rPr>
    </w:lvl>
    <w:lvl w:ilvl="4">
      <w:start w:val="1"/>
      <w:numFmt w:val="bullet"/>
      <w:isLgl w:val="false"/>
      <w:suff w:val="tab"/>
      <w:lvlText w:val=""/>
      <w:lvlJc w:val="left"/>
      <w:pPr>
        <w:ind w:left="2880" w:hanging="1440"/>
      </w:pPr>
      <w:rPr>
        <w:rFonts w:hint="default" w:ascii="Symbol" w:hAnsi="Symbol"/>
      </w:rPr>
    </w:lvl>
    <w:lvl w:ilvl="5">
      <w:start w:val="1"/>
      <w:numFmt w:val="decimal"/>
      <w:isLgl w:val="false"/>
      <w:suff w:val="tab"/>
      <w:lvlText w:val="%1.%2.%3.%4.%5.%6."/>
      <w:lvlJc w:val="left"/>
      <w:pPr>
        <w:ind w:left="3600" w:hanging="1800"/>
      </w:pPr>
      <w:rPr>
        <w:rFonts w:hint="default" w:cs="Times New Roman"/>
      </w:rPr>
    </w:lvl>
    <w:lvl w:ilvl="6">
      <w:start w:val="1"/>
      <w:numFmt w:val="decimal"/>
      <w:isLgl w:val="false"/>
      <w:suff w:val="tab"/>
      <w:lvlText w:val="%1.%2.%3.%4.%5.%6.%7."/>
      <w:lvlJc w:val="left"/>
      <w:pPr>
        <w:ind w:left="3960" w:hanging="1800"/>
      </w:pPr>
      <w:rPr>
        <w:rFonts w:hint="default" w:cs="Times New Roman"/>
      </w:rPr>
    </w:lvl>
    <w:lvl w:ilvl="7">
      <w:start w:val="1"/>
      <w:numFmt w:val="decimal"/>
      <w:isLgl w:val="false"/>
      <w:suff w:val="tab"/>
      <w:lvlText w:val="%1.%2.%3.%4.%5.%6.%7.%8."/>
      <w:lvlJc w:val="left"/>
      <w:pPr>
        <w:ind w:left="4680" w:hanging="2160"/>
      </w:pPr>
      <w:rPr>
        <w:rFonts w:hint="default" w:cs="Times New Roman"/>
      </w:rPr>
    </w:lvl>
    <w:lvl w:ilvl="8">
      <w:start w:val="1"/>
      <w:numFmt w:val="decimal"/>
      <w:isLgl w:val="false"/>
      <w:suff w:val="tab"/>
      <w:lvlText w:val="%1.%2.%3.%4.%5.%6.%7.%8.%9."/>
      <w:lvlJc w:val="left"/>
      <w:pPr>
        <w:ind w:left="5040" w:hanging="2160"/>
      </w:pPr>
      <w:rPr>
        <w:rFonts w:hint="default" w:cs="Times New Roman"/>
      </w:rPr>
    </w:lvl>
  </w:abstractNum>
  <w:abstractNum w:abstractNumId="6">
    <w:multiLevelType w:val="hybridMultilevel"/>
    <w:styleLink w:val="1355"/>
    <w:lvl w:ilvl="0">
      <w:start w:val="1"/>
      <w:numFmt w:val="bullet"/>
      <w:pStyle w:val="1355"/>
      <w:isLgl w:val="false"/>
      <w:suff w:val="tab"/>
      <w:lvlText w:val="-"/>
      <w:lvlJc w:val="left"/>
      <w:pPr>
        <w:ind w:left="142" w:firstLine="567"/>
        <w:tabs>
          <w:tab w:val="left" w:pos="360" w:leader="none"/>
          <w:tab w:val="num" w:pos="851" w:leader="none"/>
          <w:tab w:val="left" w:pos="993" w:leader="none"/>
        </w:tabs>
      </w:pPr>
      <w:rPr>
        <w:rFonts w:ascii="Times New Roman" w:hAnsi="Times New Roman" w:eastAsia="Times New Roman" w:cs="Times New Roman"/>
        <w:b w:val="0"/>
        <w:bCs w:val="0"/>
        <w:i w:val="0"/>
        <w:iCs w:val="0"/>
        <w:caps w:val="0"/>
        <w:smallCaps w:val="0"/>
        <w:strike w:val="0"/>
        <w:color w:val="000000"/>
        <w:spacing w:val="0"/>
        <w:position w:val="0"/>
        <w:highlight w:val="none"/>
        <w:vertAlign w:val="baseline"/>
      </w:rPr>
    </w:lvl>
    <w:lvl w:ilvl="1">
      <w:start w:val="1"/>
      <w:numFmt w:val="bullet"/>
      <w:isLgl w:val="false"/>
      <w:suff w:val="tab"/>
      <w:lvlText w:val="o"/>
      <w:lvlJc w:val="left"/>
      <w:pPr>
        <w:ind w:left="720" w:firstLine="14"/>
        <w:tabs>
          <w:tab w:val="left" w:pos="360" w:leader="none"/>
          <w:tab w:val="num" w:pos="1429" w:leader="none"/>
        </w:tabs>
      </w:pPr>
      <w:rPr>
        <w:rFonts w:ascii="Times New Roman" w:hAnsi="Times New Roman" w:eastAsia="Times New Roman" w:cs="Times New Roman"/>
        <w:b w:val="0"/>
        <w:bCs w:val="0"/>
        <w:i w:val="0"/>
        <w:iCs w:val="0"/>
        <w:caps w:val="0"/>
        <w:smallCaps w:val="0"/>
        <w:strike w:val="0"/>
        <w:color w:val="000000"/>
        <w:spacing w:val="0"/>
        <w:position w:val="0"/>
        <w:highlight w:val="none"/>
        <w:vertAlign w:val="baseline"/>
      </w:rPr>
    </w:lvl>
    <w:lvl w:ilvl="2">
      <w:start w:val="1"/>
      <w:numFmt w:val="bullet"/>
      <w:isLgl w:val="false"/>
      <w:suff w:val="tab"/>
      <w:lvlText w:val="▪"/>
      <w:lvlJc w:val="left"/>
      <w:pPr>
        <w:ind w:left="1440" w:firstLine="26"/>
        <w:tabs>
          <w:tab w:val="left" w:pos="360" w:leader="none"/>
          <w:tab w:val="left" w:pos="851" w:leader="none"/>
          <w:tab w:val="left" w:pos="993" w:leader="none"/>
          <w:tab w:val="num" w:pos="2149" w:leader="none"/>
        </w:tabs>
      </w:pPr>
      <w:rPr>
        <w:rFonts w:ascii="Times New Roman" w:hAnsi="Times New Roman" w:eastAsia="Times New Roman" w:cs="Times New Roman"/>
        <w:b w:val="0"/>
        <w:bCs w:val="0"/>
        <w:i w:val="0"/>
        <w:iCs w:val="0"/>
        <w:caps w:val="0"/>
        <w:smallCaps w:val="0"/>
        <w:strike w:val="0"/>
        <w:color w:val="000000"/>
        <w:spacing w:val="0"/>
        <w:position w:val="0"/>
        <w:highlight w:val="none"/>
        <w:vertAlign w:val="baseline"/>
      </w:rPr>
    </w:lvl>
    <w:lvl w:ilvl="3">
      <w:start w:val="1"/>
      <w:numFmt w:val="bullet"/>
      <w:isLgl w:val="false"/>
      <w:suff w:val="tab"/>
      <w:lvlText w:val="•"/>
      <w:lvlJc w:val="left"/>
      <w:pPr>
        <w:ind w:left="2160" w:firstLine="38"/>
        <w:tabs>
          <w:tab w:val="left" w:pos="360" w:leader="none"/>
          <w:tab w:val="left" w:pos="851" w:leader="none"/>
          <w:tab w:val="left" w:pos="993" w:leader="none"/>
          <w:tab w:val="num" w:pos="2869" w:leader="none"/>
        </w:tabs>
      </w:pPr>
      <w:rPr>
        <w:rFonts w:ascii="Times New Roman" w:hAnsi="Times New Roman" w:eastAsia="Times New Roman" w:cs="Times New Roman"/>
        <w:b w:val="0"/>
        <w:bCs w:val="0"/>
        <w:i w:val="0"/>
        <w:iCs w:val="0"/>
        <w:caps w:val="0"/>
        <w:smallCaps w:val="0"/>
        <w:strike w:val="0"/>
        <w:color w:val="000000"/>
        <w:spacing w:val="0"/>
        <w:position w:val="0"/>
        <w:highlight w:val="none"/>
        <w:vertAlign w:val="baseline"/>
      </w:rPr>
    </w:lvl>
    <w:lvl w:ilvl="4">
      <w:start w:val="1"/>
      <w:numFmt w:val="bullet"/>
      <w:isLgl w:val="false"/>
      <w:suff w:val="tab"/>
      <w:lvlText w:val="o"/>
      <w:lvlJc w:val="left"/>
      <w:pPr>
        <w:ind w:left="2880" w:firstLine="50"/>
        <w:tabs>
          <w:tab w:val="left" w:pos="360" w:leader="none"/>
          <w:tab w:val="left" w:pos="851" w:leader="none"/>
          <w:tab w:val="left" w:pos="993" w:leader="none"/>
          <w:tab w:val="num" w:pos="3589" w:leader="none"/>
        </w:tabs>
      </w:pPr>
      <w:rPr>
        <w:rFonts w:ascii="Times New Roman" w:hAnsi="Times New Roman" w:eastAsia="Times New Roman" w:cs="Times New Roman"/>
        <w:b w:val="0"/>
        <w:bCs w:val="0"/>
        <w:i w:val="0"/>
        <w:iCs w:val="0"/>
        <w:caps w:val="0"/>
        <w:smallCaps w:val="0"/>
        <w:strike w:val="0"/>
        <w:color w:val="000000"/>
        <w:spacing w:val="0"/>
        <w:position w:val="0"/>
        <w:highlight w:val="none"/>
        <w:vertAlign w:val="baseline"/>
      </w:rPr>
    </w:lvl>
    <w:lvl w:ilvl="5">
      <w:start w:val="1"/>
      <w:numFmt w:val="bullet"/>
      <w:isLgl w:val="false"/>
      <w:suff w:val="tab"/>
      <w:lvlText w:val="▪"/>
      <w:lvlJc w:val="left"/>
      <w:pPr>
        <w:ind w:left="3600" w:firstLine="62"/>
        <w:tabs>
          <w:tab w:val="left" w:pos="360" w:leader="none"/>
          <w:tab w:val="left" w:pos="851" w:leader="none"/>
          <w:tab w:val="left" w:pos="993" w:leader="none"/>
          <w:tab w:val="num" w:pos="4309" w:leader="none"/>
        </w:tabs>
      </w:pPr>
      <w:rPr>
        <w:rFonts w:ascii="Times New Roman" w:hAnsi="Times New Roman" w:eastAsia="Times New Roman" w:cs="Times New Roman"/>
        <w:b w:val="0"/>
        <w:bCs w:val="0"/>
        <w:i w:val="0"/>
        <w:iCs w:val="0"/>
        <w:caps w:val="0"/>
        <w:smallCaps w:val="0"/>
        <w:strike w:val="0"/>
        <w:color w:val="000000"/>
        <w:spacing w:val="0"/>
        <w:position w:val="0"/>
        <w:highlight w:val="none"/>
        <w:vertAlign w:val="baseline"/>
      </w:rPr>
    </w:lvl>
    <w:lvl w:ilvl="6">
      <w:start w:val="1"/>
      <w:numFmt w:val="bullet"/>
      <w:isLgl w:val="false"/>
      <w:suff w:val="tab"/>
      <w:lvlText w:val="•"/>
      <w:lvlJc w:val="left"/>
      <w:pPr>
        <w:ind w:left="4320" w:firstLine="74"/>
        <w:tabs>
          <w:tab w:val="left" w:pos="360" w:leader="none"/>
          <w:tab w:val="left" w:pos="851" w:leader="none"/>
          <w:tab w:val="left" w:pos="993" w:leader="none"/>
          <w:tab w:val="num" w:pos="5029" w:leader="none"/>
        </w:tabs>
      </w:pPr>
      <w:rPr>
        <w:rFonts w:ascii="Times New Roman" w:hAnsi="Times New Roman" w:eastAsia="Times New Roman" w:cs="Times New Roman"/>
        <w:b w:val="0"/>
        <w:bCs w:val="0"/>
        <w:i w:val="0"/>
        <w:iCs w:val="0"/>
        <w:caps w:val="0"/>
        <w:smallCaps w:val="0"/>
        <w:strike w:val="0"/>
        <w:color w:val="000000"/>
        <w:spacing w:val="0"/>
        <w:position w:val="0"/>
        <w:highlight w:val="none"/>
        <w:vertAlign w:val="baseline"/>
      </w:rPr>
    </w:lvl>
    <w:lvl w:ilvl="7">
      <w:start w:val="1"/>
      <w:numFmt w:val="bullet"/>
      <w:isLgl w:val="false"/>
      <w:suff w:val="tab"/>
      <w:lvlText w:val="o"/>
      <w:lvlJc w:val="left"/>
      <w:pPr>
        <w:ind w:left="5040" w:firstLine="86"/>
        <w:tabs>
          <w:tab w:val="left" w:pos="360" w:leader="none"/>
          <w:tab w:val="left" w:pos="851" w:leader="none"/>
          <w:tab w:val="left" w:pos="993" w:leader="none"/>
          <w:tab w:val="num" w:pos="5749" w:leader="none"/>
        </w:tabs>
      </w:pPr>
      <w:rPr>
        <w:rFonts w:ascii="Times New Roman" w:hAnsi="Times New Roman" w:eastAsia="Times New Roman" w:cs="Times New Roman"/>
        <w:b w:val="0"/>
        <w:bCs w:val="0"/>
        <w:i w:val="0"/>
        <w:iCs w:val="0"/>
        <w:caps w:val="0"/>
        <w:smallCaps w:val="0"/>
        <w:strike w:val="0"/>
        <w:color w:val="000000"/>
        <w:spacing w:val="0"/>
        <w:position w:val="0"/>
        <w:highlight w:val="none"/>
        <w:vertAlign w:val="baseline"/>
      </w:rPr>
    </w:lvl>
    <w:lvl w:ilvl="8">
      <w:start w:val="1"/>
      <w:numFmt w:val="bullet"/>
      <w:isLgl w:val="false"/>
      <w:suff w:val="tab"/>
      <w:lvlText w:val="▪"/>
      <w:lvlJc w:val="left"/>
      <w:pPr>
        <w:ind w:left="5760" w:firstLine="98"/>
        <w:tabs>
          <w:tab w:val="left" w:pos="360" w:leader="none"/>
          <w:tab w:val="left" w:pos="851" w:leader="none"/>
          <w:tab w:val="left" w:pos="993" w:leader="none"/>
          <w:tab w:val="num" w:pos="6469" w:leader="none"/>
        </w:tabs>
      </w:pPr>
      <w:rPr>
        <w:rFonts w:ascii="Times New Roman" w:hAnsi="Times New Roman" w:eastAsia="Times New Roman" w:cs="Times New Roman"/>
        <w:b w:val="0"/>
        <w:bCs w:val="0"/>
        <w:i w:val="0"/>
        <w:iCs w:val="0"/>
        <w:caps w:val="0"/>
        <w:smallCaps w:val="0"/>
        <w:strike w:val="0"/>
        <w:color w:val="000000"/>
        <w:spacing w:val="0"/>
        <w:position w:val="0"/>
        <w:highlight w:val="none"/>
        <w:vertAlign w:val="baseline"/>
      </w:rPr>
    </w:lvl>
  </w:abstractNum>
  <w:abstractNum w:abstractNumId="7">
    <w:multiLevelType w:val="hybridMultilevel"/>
    <w:lvl w:ilvl="0">
      <w:start w:val="3"/>
      <w:numFmt w:val="decimal"/>
      <w:isLgl w:val="false"/>
      <w:suff w:val="tab"/>
      <w:lvlText w:val="%1."/>
      <w:lvlJc w:val="left"/>
      <w:pPr>
        <w:ind w:left="360" w:hanging="360"/>
      </w:pPr>
      <w:rPr>
        <w:rFonts w:hint="default"/>
        <w:b/>
      </w:rPr>
    </w:lvl>
    <w:lvl w:ilvl="1">
      <w:start w:val="1"/>
      <w:numFmt w:val="decimal"/>
      <w:isLgl w:val="false"/>
      <w:suff w:val="tab"/>
      <w:lvlText w:val="%1.%2."/>
      <w:lvlJc w:val="left"/>
      <w:pPr>
        <w:ind w:left="360" w:hanging="360"/>
      </w:pPr>
      <w:rPr>
        <w:rFonts w:hint="default"/>
      </w:rPr>
    </w:lvl>
    <w:lvl w:ilvl="2">
      <w:start w:val="1"/>
      <w:numFmt w:val="decimal"/>
      <w:isLgl w:val="false"/>
      <w:suff w:val="tab"/>
      <w:lvlText w:val="%1.%2.%3."/>
      <w:lvlJc w:val="left"/>
      <w:pPr>
        <w:ind w:left="720" w:hanging="720"/>
      </w:pPr>
      <w:rPr>
        <w:rFonts w:hint="default"/>
        <w:sz w:val="22"/>
        <w:szCs w:val="22"/>
      </w:rPr>
    </w:lvl>
    <w:lvl w:ilvl="3">
      <w:start w:val="1"/>
      <w:numFmt w:val="decimal"/>
      <w:isLgl w:val="false"/>
      <w:suff w:val="tab"/>
      <w:lvlText w:val="%1.%2.%3.%4."/>
      <w:lvlJc w:val="left"/>
      <w:pPr>
        <w:ind w:left="720" w:hanging="720"/>
      </w:pPr>
      <w:rPr>
        <w:rFonts w:hint="default"/>
      </w:rPr>
    </w:lvl>
    <w:lvl w:ilvl="4">
      <w:start w:val="1"/>
      <w:numFmt w:val="decimal"/>
      <w:isLgl w:val="false"/>
      <w:suff w:val="tab"/>
      <w:lvlText w:val="%1.%2.%3.%4.%5."/>
      <w:lvlJc w:val="left"/>
      <w:pPr>
        <w:ind w:left="1080" w:hanging="1080"/>
      </w:pPr>
      <w:rPr>
        <w:rFonts w:hint="default"/>
      </w:rPr>
    </w:lvl>
    <w:lvl w:ilvl="5">
      <w:start w:val="1"/>
      <w:numFmt w:val="decimal"/>
      <w:isLgl w:val="false"/>
      <w:suff w:val="tab"/>
      <w:lvlText w:val="%1.%2.%3.%4.%5.%6."/>
      <w:lvlJc w:val="left"/>
      <w:pPr>
        <w:ind w:left="1080" w:hanging="1080"/>
      </w:pPr>
      <w:rPr>
        <w:rFonts w:hint="default"/>
      </w:rPr>
    </w:lvl>
    <w:lvl w:ilvl="6">
      <w:start w:val="1"/>
      <w:numFmt w:val="decimal"/>
      <w:isLgl w:val="false"/>
      <w:suff w:val="tab"/>
      <w:lvlText w:val="%1.%2.%3.%4.%5.%6.%7."/>
      <w:lvlJc w:val="left"/>
      <w:pPr>
        <w:ind w:left="1440" w:hanging="1440"/>
      </w:pPr>
      <w:rPr>
        <w:rFonts w:hint="default"/>
      </w:rPr>
    </w:lvl>
    <w:lvl w:ilvl="7">
      <w:start w:val="1"/>
      <w:numFmt w:val="decimal"/>
      <w:isLgl w:val="false"/>
      <w:suff w:val="tab"/>
      <w:lvlText w:val="%1.%2.%3.%4.%5.%6.%7.%8."/>
      <w:lvlJc w:val="left"/>
      <w:pPr>
        <w:ind w:left="1440" w:hanging="1440"/>
      </w:pPr>
      <w:rPr>
        <w:rFonts w:hint="default"/>
      </w:rPr>
    </w:lvl>
    <w:lvl w:ilvl="8">
      <w:start w:val="1"/>
      <w:numFmt w:val="decimal"/>
      <w:isLgl w:val="false"/>
      <w:suff w:val="tab"/>
      <w:lvlText w:val="%1.%2.%3.%4.%5.%6.%7.%8.%9."/>
      <w:lvlJc w:val="left"/>
      <w:pPr>
        <w:ind w:left="1800" w:hanging="1800"/>
      </w:pPr>
      <w:rPr>
        <w:rFonts w:hint="default"/>
      </w:rPr>
    </w:lvl>
  </w:abstractNum>
  <w:abstractNum w:abstractNumId="8">
    <w:multiLevelType w:val="hybridMultilevel"/>
    <w:lvl w:ilvl="0">
      <w:start w:val="1"/>
      <w:numFmt w:val="decimal"/>
      <w:isLgl w:val="false"/>
      <w:suff w:val="space"/>
      <w:lvlText w:val="%1."/>
      <w:lvlJc w:val="left"/>
      <w:pPr>
        <w:ind w:left="-283" w:firstLine="709"/>
      </w:pPr>
      <w:rPr>
        <w:rFonts w:hint="default"/>
        <w:b/>
        <w:i w:val="0"/>
      </w:rPr>
    </w:lvl>
    <w:lvl w:ilvl="1">
      <w:start w:val="1"/>
      <w:numFmt w:val="decimal"/>
      <w:isLgl w:val="false"/>
      <w:suff w:val="space"/>
      <w:lvlText w:val="%1.%2."/>
      <w:lvlJc w:val="left"/>
      <w:pPr>
        <w:ind w:left="0" w:firstLine="709"/>
      </w:pPr>
      <w:rPr>
        <w:rFonts w:hint="default"/>
        <w:i w:val="0"/>
      </w:rPr>
    </w:lvl>
    <w:lvl w:ilvl="2">
      <w:start w:val="1"/>
      <w:numFmt w:val="decimal"/>
      <w:isLgl w:val="false"/>
      <w:suff w:val="tab"/>
      <w:lvlText w:val="%1.%2.%3."/>
      <w:lvlJc w:val="left"/>
      <w:pPr>
        <w:ind w:left="1224" w:hanging="504"/>
      </w:pPr>
      <w:rPr>
        <w:rFonts w:hint="default"/>
      </w:rPr>
    </w:lvl>
    <w:lvl w:ilvl="3">
      <w:start w:val="1"/>
      <w:numFmt w:val="decimal"/>
      <w:isLgl w:val="false"/>
      <w:suff w:val="tab"/>
      <w:lvlText w:val="%1.%2.%3.%4."/>
      <w:lvlJc w:val="left"/>
      <w:pPr>
        <w:ind w:left="1728" w:hanging="648"/>
      </w:pPr>
      <w:rPr>
        <w:rFonts w:hint="default"/>
      </w:rPr>
    </w:lvl>
    <w:lvl w:ilvl="4">
      <w:start w:val="1"/>
      <w:numFmt w:val="decimal"/>
      <w:isLgl w:val="false"/>
      <w:suff w:val="tab"/>
      <w:lvlText w:val="%1.%2.%3.%4.%5."/>
      <w:lvlJc w:val="left"/>
      <w:pPr>
        <w:ind w:left="2232" w:hanging="792"/>
      </w:pPr>
      <w:rPr>
        <w:rFonts w:hint="default"/>
      </w:rPr>
    </w:lvl>
    <w:lvl w:ilvl="5">
      <w:start w:val="1"/>
      <w:numFmt w:val="decimal"/>
      <w:isLgl w:val="false"/>
      <w:suff w:val="tab"/>
      <w:lvlText w:val="%1.%2.%3.%4.%5.%6."/>
      <w:lvlJc w:val="left"/>
      <w:pPr>
        <w:ind w:left="2736" w:hanging="936"/>
      </w:pPr>
      <w:rPr>
        <w:rFonts w:hint="default"/>
      </w:rPr>
    </w:lvl>
    <w:lvl w:ilvl="6">
      <w:start w:val="1"/>
      <w:numFmt w:val="decimal"/>
      <w:isLgl w:val="false"/>
      <w:suff w:val="tab"/>
      <w:lvlText w:val="%1.%2.%3.%4.%5.%6.%7."/>
      <w:lvlJc w:val="left"/>
      <w:pPr>
        <w:ind w:left="3240" w:hanging="1080"/>
      </w:pPr>
      <w:rPr>
        <w:rFonts w:hint="default"/>
      </w:rPr>
    </w:lvl>
    <w:lvl w:ilvl="7">
      <w:start w:val="1"/>
      <w:numFmt w:val="decimal"/>
      <w:isLgl w:val="false"/>
      <w:suff w:val="tab"/>
      <w:lvlText w:val="%1.%2.%3.%4.%5.%6.%7.%8."/>
      <w:lvlJc w:val="left"/>
      <w:pPr>
        <w:ind w:left="3744" w:hanging="1224"/>
      </w:pPr>
      <w:rPr>
        <w:rFonts w:hint="default"/>
      </w:rPr>
    </w:lvl>
    <w:lvl w:ilvl="8">
      <w:start w:val="1"/>
      <w:numFmt w:val="decimal"/>
      <w:isLgl w:val="false"/>
      <w:suff w:val="tab"/>
      <w:lvlText w:val="%1.%2.%3.%4.%5.%6.%7.%8.%9."/>
      <w:lvlJc w:val="left"/>
      <w:pPr>
        <w:ind w:left="4320" w:hanging="1440"/>
      </w:pPr>
      <w:rPr>
        <w:rFonts w:hint="default"/>
      </w:rPr>
    </w:lvl>
  </w:abstractNum>
  <w:abstractNum w:abstractNumId="9">
    <w:multiLevelType w:val="hybridMultilevel"/>
    <w:styleLink w:val="1372"/>
    <w:lvl w:ilvl="0">
      <w:start w:val="1"/>
      <w:numFmt w:val="bullet"/>
      <w:pStyle w:val="1372"/>
      <w:isLgl w:val="false"/>
      <w:suff w:val="tab"/>
      <w:lvlText w:val="•"/>
      <w:lvlJc w:val="left"/>
      <w:pPr>
        <w:ind w:left="371" w:firstLine="338"/>
        <w:tabs>
          <w:tab w:val="num" w:pos="1080" w:leader="none"/>
        </w:tabs>
      </w:pPr>
      <w:rPr>
        <w:rFonts w:ascii="Symbol" w:hAnsi="Symbol" w:eastAsia="Symbol" w:cs="Symbol"/>
        <w:b w:val="0"/>
        <w:bCs w:val="0"/>
        <w:i w:val="0"/>
        <w:iCs w:val="0"/>
        <w:caps w:val="0"/>
        <w:smallCaps w:val="0"/>
        <w:strike w:val="0"/>
        <w:color w:val="000000"/>
        <w:spacing w:val="0"/>
        <w:position w:val="0"/>
        <w:highlight w:val="none"/>
        <w:vertAlign w:val="baseline"/>
      </w:rPr>
    </w:lvl>
    <w:lvl w:ilvl="1">
      <w:start w:val="1"/>
      <w:numFmt w:val="bullet"/>
      <w:isLgl w:val="false"/>
      <w:suff w:val="tab"/>
      <w:lvlText w:val="o"/>
      <w:lvlJc w:val="left"/>
      <w:pPr>
        <w:ind w:left="720" w:hanging="11"/>
        <w:tabs>
          <w:tab w:val="num" w:pos="1429" w:leader="none"/>
        </w:tabs>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lvl w:ilvl="2">
      <w:start w:val="1"/>
      <w:numFmt w:val="bullet"/>
      <w:isLgl w:val="false"/>
      <w:suff w:val="tab"/>
      <w:lvlText w:val="▪"/>
      <w:lvlJc w:val="left"/>
      <w:pPr>
        <w:ind w:left="1440" w:hanging="11"/>
        <w:tabs>
          <w:tab w:val="left" w:pos="1080" w:leader="none"/>
          <w:tab w:val="num" w:pos="2149" w:leader="none"/>
        </w:tabs>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lvl w:ilvl="3">
      <w:start w:val="1"/>
      <w:numFmt w:val="bullet"/>
      <w:isLgl w:val="false"/>
      <w:suff w:val="tab"/>
      <w:lvlText w:val="•"/>
      <w:lvlJc w:val="left"/>
      <w:pPr>
        <w:ind w:left="2160" w:hanging="11"/>
        <w:tabs>
          <w:tab w:val="left" w:pos="1080" w:leader="none"/>
          <w:tab w:val="num" w:pos="2869" w:leader="none"/>
        </w:tabs>
      </w:pPr>
      <w:rPr>
        <w:rFonts w:ascii="Symbol" w:hAnsi="Symbol" w:eastAsia="Symbol" w:cs="Symbol"/>
        <w:b w:val="0"/>
        <w:bCs w:val="0"/>
        <w:i w:val="0"/>
        <w:iCs w:val="0"/>
        <w:caps w:val="0"/>
        <w:smallCaps w:val="0"/>
        <w:strike w:val="0"/>
        <w:color w:val="000000"/>
        <w:spacing w:val="0"/>
        <w:position w:val="0"/>
        <w:highlight w:val="none"/>
        <w:vertAlign w:val="baseline"/>
      </w:rPr>
    </w:lvl>
    <w:lvl w:ilvl="4">
      <w:start w:val="1"/>
      <w:numFmt w:val="bullet"/>
      <w:isLgl w:val="false"/>
      <w:suff w:val="tab"/>
      <w:lvlText w:val="o"/>
      <w:lvlJc w:val="left"/>
      <w:pPr>
        <w:ind w:left="2880" w:hanging="11"/>
        <w:tabs>
          <w:tab w:val="left" w:pos="1080" w:leader="none"/>
          <w:tab w:val="num" w:pos="3589" w:leader="none"/>
        </w:tabs>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lvl w:ilvl="5">
      <w:start w:val="1"/>
      <w:numFmt w:val="bullet"/>
      <w:isLgl w:val="false"/>
      <w:suff w:val="tab"/>
      <w:lvlText w:val="▪"/>
      <w:lvlJc w:val="left"/>
      <w:pPr>
        <w:ind w:left="3600" w:hanging="11"/>
        <w:tabs>
          <w:tab w:val="left" w:pos="1080" w:leader="none"/>
          <w:tab w:val="num" w:pos="4309" w:leader="none"/>
        </w:tabs>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lvl w:ilvl="6">
      <w:start w:val="1"/>
      <w:numFmt w:val="bullet"/>
      <w:isLgl w:val="false"/>
      <w:suff w:val="tab"/>
      <w:lvlText w:val="•"/>
      <w:lvlJc w:val="left"/>
      <w:pPr>
        <w:ind w:left="4320" w:hanging="11"/>
        <w:tabs>
          <w:tab w:val="left" w:pos="1080" w:leader="none"/>
          <w:tab w:val="num" w:pos="5029" w:leader="none"/>
        </w:tabs>
      </w:pPr>
      <w:rPr>
        <w:rFonts w:ascii="Symbol" w:hAnsi="Symbol" w:eastAsia="Symbol" w:cs="Symbol"/>
        <w:b w:val="0"/>
        <w:bCs w:val="0"/>
        <w:i w:val="0"/>
        <w:iCs w:val="0"/>
        <w:caps w:val="0"/>
        <w:smallCaps w:val="0"/>
        <w:strike w:val="0"/>
        <w:color w:val="000000"/>
        <w:spacing w:val="0"/>
        <w:position w:val="0"/>
        <w:highlight w:val="none"/>
        <w:vertAlign w:val="baseline"/>
      </w:rPr>
    </w:lvl>
    <w:lvl w:ilvl="7">
      <w:start w:val="1"/>
      <w:numFmt w:val="bullet"/>
      <w:isLgl w:val="false"/>
      <w:suff w:val="tab"/>
      <w:lvlText w:val="o"/>
      <w:lvlJc w:val="left"/>
      <w:pPr>
        <w:ind w:left="5040" w:hanging="11"/>
        <w:tabs>
          <w:tab w:val="left" w:pos="1080" w:leader="none"/>
          <w:tab w:val="num" w:pos="5749" w:leader="none"/>
        </w:tabs>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lvl w:ilvl="8">
      <w:start w:val="1"/>
      <w:numFmt w:val="bullet"/>
      <w:isLgl w:val="false"/>
      <w:suff w:val="tab"/>
      <w:lvlText w:val="▪"/>
      <w:lvlJc w:val="left"/>
      <w:pPr>
        <w:ind w:left="5760" w:hanging="11"/>
        <w:tabs>
          <w:tab w:val="left" w:pos="1080" w:leader="none"/>
          <w:tab w:val="num" w:pos="6469" w:leader="none"/>
        </w:tabs>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abstractNum>
  <w:abstractNum w:abstractNumId="10">
    <w:multiLevelType w:val="hybridMultilevel"/>
    <w:styleLink w:val="1341"/>
    <w:lvl w:ilvl="0">
      <w:start w:val="1"/>
      <w:numFmt w:val="decimal"/>
      <w:pStyle w:val="1341"/>
      <w:isLgl w:val="false"/>
      <w:suff w:val="tab"/>
      <w:lvlText w:val="%1)"/>
      <w:lvlJc w:val="left"/>
      <w:pPr>
        <w:ind w:left="425" w:firstLine="284"/>
        <w:tabs>
          <w:tab w:val="left" w:pos="709" w:leader="none"/>
          <w:tab w:val="num" w:pos="1134" w:leader="none"/>
        </w:tabs>
      </w:pPr>
      <w:rPr>
        <w:rFonts w:hAnsi="Arial Unicode MS"/>
        <w:caps w:val="0"/>
        <w:smallCaps w:val="0"/>
        <w:strike w:val="0"/>
        <w:color w:val="000000"/>
        <w:spacing w:val="0"/>
        <w:position w:val="0"/>
        <w:highlight w:val="none"/>
        <w:vertAlign w:val="baseline"/>
      </w:rPr>
    </w:lvl>
    <w:lvl w:ilvl="1">
      <w:start w:val="1"/>
      <w:numFmt w:val="lowerLetter"/>
      <w:isLgl w:val="false"/>
      <w:suff w:val="tab"/>
      <w:lvlText w:val="%2."/>
      <w:lvlJc w:val="left"/>
      <w:pPr>
        <w:ind w:left="720" w:firstLine="14"/>
        <w:tabs>
          <w:tab w:val="left" w:pos="709" w:leader="none"/>
          <w:tab w:val="num" w:pos="1429" w:leader="none"/>
        </w:tabs>
      </w:pPr>
      <w:rPr>
        <w:rFonts w:hAnsi="Arial Unicode MS"/>
        <w:caps w:val="0"/>
        <w:smallCaps w:val="0"/>
        <w:strike w:val="0"/>
        <w:color w:val="000000"/>
        <w:spacing w:val="0"/>
        <w:position w:val="0"/>
        <w:highlight w:val="none"/>
        <w:vertAlign w:val="baseline"/>
      </w:rPr>
    </w:lvl>
    <w:lvl w:ilvl="2">
      <w:start w:val="1"/>
      <w:numFmt w:val="lowerRoman"/>
      <w:isLgl w:val="false"/>
      <w:suff w:val="tab"/>
      <w:lvlText w:val="%3."/>
      <w:lvlJc w:val="left"/>
      <w:pPr>
        <w:ind w:left="1440" w:firstLine="101"/>
        <w:tabs>
          <w:tab w:val="left" w:pos="709" w:leader="none"/>
          <w:tab w:val="left" w:pos="1134" w:leader="none"/>
          <w:tab w:val="num" w:pos="2149" w:leader="none"/>
        </w:tabs>
      </w:pPr>
      <w:rPr>
        <w:rFonts w:hAnsi="Arial Unicode MS"/>
        <w:caps w:val="0"/>
        <w:smallCaps w:val="0"/>
        <w:strike w:val="0"/>
        <w:color w:val="000000"/>
        <w:spacing w:val="0"/>
        <w:position w:val="0"/>
        <w:highlight w:val="none"/>
        <w:vertAlign w:val="baseline"/>
      </w:rPr>
    </w:lvl>
    <w:lvl w:ilvl="3">
      <w:start w:val="1"/>
      <w:numFmt w:val="decimal"/>
      <w:isLgl w:val="false"/>
      <w:suff w:val="tab"/>
      <w:lvlText w:val="%4."/>
      <w:lvlJc w:val="left"/>
      <w:pPr>
        <w:ind w:left="2160" w:firstLine="38"/>
        <w:tabs>
          <w:tab w:val="left" w:pos="709" w:leader="none"/>
          <w:tab w:val="left" w:pos="1134" w:leader="none"/>
          <w:tab w:val="num" w:pos="2869" w:leader="none"/>
        </w:tabs>
      </w:pPr>
      <w:rPr>
        <w:rFonts w:hAnsi="Arial Unicode MS"/>
        <w:caps w:val="0"/>
        <w:smallCaps w:val="0"/>
        <w:strike w:val="0"/>
        <w:color w:val="000000"/>
        <w:spacing w:val="0"/>
        <w:position w:val="0"/>
        <w:highlight w:val="none"/>
        <w:vertAlign w:val="baseline"/>
      </w:rPr>
    </w:lvl>
    <w:lvl w:ilvl="4">
      <w:start w:val="1"/>
      <w:numFmt w:val="lowerLetter"/>
      <w:isLgl w:val="false"/>
      <w:suff w:val="tab"/>
      <w:lvlText w:val="%5."/>
      <w:lvlJc w:val="left"/>
      <w:pPr>
        <w:ind w:left="2880" w:firstLine="50"/>
        <w:tabs>
          <w:tab w:val="left" w:pos="709" w:leader="none"/>
          <w:tab w:val="left" w:pos="1134" w:leader="none"/>
          <w:tab w:val="num" w:pos="3589" w:leader="none"/>
        </w:tabs>
      </w:pPr>
      <w:rPr>
        <w:rFonts w:hAnsi="Arial Unicode MS"/>
        <w:caps w:val="0"/>
        <w:smallCaps w:val="0"/>
        <w:strike w:val="0"/>
        <w:color w:val="000000"/>
        <w:spacing w:val="0"/>
        <w:position w:val="0"/>
        <w:highlight w:val="none"/>
        <w:vertAlign w:val="baseline"/>
      </w:rPr>
    </w:lvl>
    <w:lvl w:ilvl="5">
      <w:start w:val="1"/>
      <w:numFmt w:val="lowerRoman"/>
      <w:isLgl w:val="false"/>
      <w:suff w:val="tab"/>
      <w:lvlText w:val="%6."/>
      <w:lvlJc w:val="left"/>
      <w:pPr>
        <w:ind w:left="3600" w:firstLine="137"/>
        <w:tabs>
          <w:tab w:val="left" w:pos="709" w:leader="none"/>
          <w:tab w:val="left" w:pos="1134" w:leader="none"/>
          <w:tab w:val="num" w:pos="4309" w:leader="none"/>
        </w:tabs>
      </w:pPr>
      <w:rPr>
        <w:rFonts w:hAnsi="Arial Unicode MS"/>
        <w:caps w:val="0"/>
        <w:smallCaps w:val="0"/>
        <w:strike w:val="0"/>
        <w:color w:val="000000"/>
        <w:spacing w:val="0"/>
        <w:position w:val="0"/>
        <w:highlight w:val="none"/>
        <w:vertAlign w:val="baseline"/>
      </w:rPr>
    </w:lvl>
    <w:lvl w:ilvl="6">
      <w:start w:val="1"/>
      <w:numFmt w:val="decimal"/>
      <w:isLgl w:val="false"/>
      <w:suff w:val="tab"/>
      <w:lvlText w:val="%7."/>
      <w:lvlJc w:val="left"/>
      <w:pPr>
        <w:ind w:left="4320" w:firstLine="74"/>
        <w:tabs>
          <w:tab w:val="left" w:pos="709" w:leader="none"/>
          <w:tab w:val="left" w:pos="1134" w:leader="none"/>
          <w:tab w:val="num" w:pos="5029" w:leader="none"/>
        </w:tabs>
      </w:pPr>
      <w:rPr>
        <w:rFonts w:hAnsi="Arial Unicode MS"/>
        <w:caps w:val="0"/>
        <w:smallCaps w:val="0"/>
        <w:strike w:val="0"/>
        <w:color w:val="000000"/>
        <w:spacing w:val="0"/>
        <w:position w:val="0"/>
        <w:highlight w:val="none"/>
        <w:vertAlign w:val="baseline"/>
      </w:rPr>
    </w:lvl>
    <w:lvl w:ilvl="7">
      <w:start w:val="1"/>
      <w:numFmt w:val="lowerLetter"/>
      <w:isLgl w:val="false"/>
      <w:suff w:val="tab"/>
      <w:lvlText w:val="%8."/>
      <w:lvlJc w:val="left"/>
      <w:pPr>
        <w:ind w:left="5040" w:firstLine="86"/>
        <w:tabs>
          <w:tab w:val="left" w:pos="709" w:leader="none"/>
          <w:tab w:val="left" w:pos="1134" w:leader="none"/>
          <w:tab w:val="num" w:pos="5749" w:leader="none"/>
        </w:tabs>
      </w:pPr>
      <w:rPr>
        <w:rFonts w:hAnsi="Arial Unicode MS"/>
        <w:caps w:val="0"/>
        <w:smallCaps w:val="0"/>
        <w:strike w:val="0"/>
        <w:color w:val="000000"/>
        <w:spacing w:val="0"/>
        <w:position w:val="0"/>
        <w:highlight w:val="none"/>
        <w:vertAlign w:val="baseline"/>
      </w:rPr>
    </w:lvl>
    <w:lvl w:ilvl="8">
      <w:start w:val="1"/>
      <w:numFmt w:val="lowerRoman"/>
      <w:isLgl w:val="false"/>
      <w:suff w:val="tab"/>
      <w:lvlText w:val="%9."/>
      <w:lvlJc w:val="left"/>
      <w:pPr>
        <w:ind w:left="5760" w:firstLine="173"/>
        <w:tabs>
          <w:tab w:val="left" w:pos="709" w:leader="none"/>
          <w:tab w:val="left" w:pos="1134" w:leader="none"/>
          <w:tab w:val="num" w:pos="6469" w:leader="none"/>
        </w:tabs>
      </w:pPr>
      <w:rPr>
        <w:rFonts w:hAnsi="Arial Unicode MS"/>
        <w:caps w:val="0"/>
        <w:smallCaps w:val="0"/>
        <w:strike w:val="0"/>
        <w:color w:val="000000"/>
        <w:spacing w:val="0"/>
        <w:position w:val="0"/>
        <w:highlight w:val="none"/>
        <w:vertAlign w:val="baseline"/>
      </w:rPr>
    </w:lvl>
  </w:abstractNum>
  <w:abstractNum w:abstractNumId="11">
    <w:multiLevelType w:val="hybridMultilevel"/>
    <w:styleLink w:val="1329"/>
    <w:lvl w:ilvl="0">
      <w:start w:val="1"/>
      <w:numFmt w:val="bullet"/>
      <w:pStyle w:val="1329"/>
      <w:isLgl w:val="false"/>
      <w:suff w:val="tab"/>
      <w:lvlText w:val="•"/>
      <w:lvlJc w:val="left"/>
      <w:pPr>
        <w:ind w:left="720" w:hanging="360"/>
      </w:pPr>
      <w:rPr>
        <w:rFonts w:ascii="Symbol" w:hAnsi="Symbol" w:eastAsia="Symbol" w:cs="Symbol"/>
        <w:b w:val="0"/>
        <w:bCs w:val="0"/>
        <w:i w:val="0"/>
        <w:iCs w:val="0"/>
        <w:caps w:val="0"/>
        <w:smallCaps w:val="0"/>
        <w:strike w:val="0"/>
        <w:color w:val="000000"/>
        <w:spacing w:val="0"/>
        <w:position w:val="0"/>
        <w:highlight w:val="none"/>
        <w:vertAlign w:val="baseline"/>
      </w:rPr>
    </w:lvl>
    <w:lvl w:ilvl="1">
      <w:start w:val="1"/>
      <w:numFmt w:val="bullet"/>
      <w:isLgl w:val="false"/>
      <w:suff w:val="tab"/>
      <w:lvlText w:val="o"/>
      <w:lvlJc w:val="left"/>
      <w:pPr>
        <w:ind w:left="1440" w:hanging="360"/>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lvl w:ilvl="2">
      <w:start w:val="1"/>
      <w:numFmt w:val="bullet"/>
      <w:isLgl w:val="false"/>
      <w:suff w:val="tab"/>
      <w:lvlText w:val="▪"/>
      <w:lvlJc w:val="left"/>
      <w:pPr>
        <w:ind w:left="2160" w:hanging="360"/>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lvl w:ilvl="3">
      <w:start w:val="1"/>
      <w:numFmt w:val="bullet"/>
      <w:isLgl w:val="false"/>
      <w:suff w:val="tab"/>
      <w:lvlText w:val="•"/>
      <w:lvlJc w:val="left"/>
      <w:pPr>
        <w:ind w:left="2880" w:hanging="360"/>
      </w:pPr>
      <w:rPr>
        <w:rFonts w:ascii="Symbol" w:hAnsi="Symbol" w:eastAsia="Symbol" w:cs="Symbol"/>
        <w:b w:val="0"/>
        <w:bCs w:val="0"/>
        <w:i w:val="0"/>
        <w:iCs w:val="0"/>
        <w:caps w:val="0"/>
        <w:smallCaps w:val="0"/>
        <w:strike w:val="0"/>
        <w:color w:val="000000"/>
        <w:spacing w:val="0"/>
        <w:position w:val="0"/>
        <w:highlight w:val="none"/>
        <w:vertAlign w:val="baseline"/>
      </w:rPr>
    </w:lvl>
    <w:lvl w:ilvl="4">
      <w:start w:val="1"/>
      <w:numFmt w:val="bullet"/>
      <w:isLgl w:val="false"/>
      <w:suff w:val="tab"/>
      <w:lvlText w:val="o"/>
      <w:lvlJc w:val="left"/>
      <w:pPr>
        <w:ind w:left="3600" w:hanging="360"/>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lvl w:ilvl="5">
      <w:start w:val="1"/>
      <w:numFmt w:val="bullet"/>
      <w:isLgl w:val="false"/>
      <w:suff w:val="tab"/>
      <w:lvlText w:val="▪"/>
      <w:lvlJc w:val="left"/>
      <w:pPr>
        <w:ind w:left="4320" w:hanging="360"/>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lvl w:ilvl="6">
      <w:start w:val="1"/>
      <w:numFmt w:val="bullet"/>
      <w:isLgl w:val="false"/>
      <w:suff w:val="tab"/>
      <w:lvlText w:val="•"/>
      <w:lvlJc w:val="left"/>
      <w:pPr>
        <w:ind w:left="5040" w:hanging="360"/>
      </w:pPr>
      <w:rPr>
        <w:rFonts w:ascii="Symbol" w:hAnsi="Symbol" w:eastAsia="Symbol" w:cs="Symbol"/>
        <w:b w:val="0"/>
        <w:bCs w:val="0"/>
        <w:i w:val="0"/>
        <w:iCs w:val="0"/>
        <w:caps w:val="0"/>
        <w:smallCaps w:val="0"/>
        <w:strike w:val="0"/>
        <w:color w:val="000000"/>
        <w:spacing w:val="0"/>
        <w:position w:val="0"/>
        <w:highlight w:val="none"/>
        <w:vertAlign w:val="baseline"/>
      </w:rPr>
    </w:lvl>
    <w:lvl w:ilvl="7">
      <w:start w:val="1"/>
      <w:numFmt w:val="bullet"/>
      <w:isLgl w:val="false"/>
      <w:suff w:val="tab"/>
      <w:lvlText w:val="o"/>
      <w:lvlJc w:val="left"/>
      <w:pPr>
        <w:ind w:left="5760" w:hanging="360"/>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lvl w:ilvl="8">
      <w:start w:val="1"/>
      <w:numFmt w:val="bullet"/>
      <w:isLgl w:val="false"/>
      <w:suff w:val="tab"/>
      <w:lvlText w:val="▪"/>
      <w:lvlJc w:val="left"/>
      <w:pPr>
        <w:ind w:left="6480" w:hanging="360"/>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abstractNum>
  <w:abstractNum w:abstractNumId="12">
    <w:multiLevelType w:val="hybridMultilevel"/>
    <w:styleLink w:val="1339"/>
    <w:lvl w:ilvl="0">
      <w:start w:val="1"/>
      <w:numFmt w:val="decimal"/>
      <w:pStyle w:val="1339"/>
      <w:isLgl w:val="false"/>
      <w:suff w:val="tab"/>
      <w:lvlText w:val="%1."/>
      <w:lvlJc w:val="left"/>
      <w:pPr>
        <w:ind w:left="792" w:hanging="83"/>
        <w:tabs>
          <w:tab w:val="num" w:pos="1501" w:leader="none"/>
          <w:tab w:val="left" w:pos="1560" w:leader="none"/>
        </w:tabs>
      </w:pPr>
      <w:rPr>
        <w:rFonts w:hAnsi="Arial Unicode MS"/>
        <w:caps w:val="0"/>
        <w:smallCaps w:val="0"/>
        <w:strike w:val="0"/>
        <w:color w:val="000000"/>
        <w:spacing w:val="0"/>
        <w:position w:val="0"/>
        <w:highlight w:val="none"/>
        <w:vertAlign w:val="baseline"/>
      </w:rPr>
    </w:lvl>
    <w:lvl w:ilvl="1">
      <w:start w:val="1"/>
      <w:numFmt w:val="decimal"/>
      <w:isLgl w:val="false"/>
      <w:suff w:val="tab"/>
      <w:lvlText w:val="%1.%2."/>
      <w:lvlJc w:val="left"/>
      <w:pPr>
        <w:ind w:left="1634" w:hanging="83"/>
        <w:tabs>
          <w:tab w:val="left" w:pos="1560" w:leader="none"/>
          <w:tab w:val="num" w:pos="2343" w:leader="none"/>
        </w:tabs>
      </w:pPr>
      <w:rPr>
        <w:rFonts w:hAnsi="Arial Unicode MS"/>
        <w:caps w:val="0"/>
        <w:smallCaps w:val="0"/>
        <w:strike w:val="0"/>
        <w:color w:val="000000"/>
        <w:spacing w:val="0"/>
        <w:position w:val="0"/>
        <w:highlight w:val="none"/>
        <w:vertAlign w:val="baseline"/>
      </w:rPr>
    </w:lvl>
    <w:lvl w:ilvl="2">
      <w:start w:val="1"/>
      <w:numFmt w:val="decimal"/>
      <w:isLgl w:val="false"/>
      <w:suff w:val="tab"/>
      <w:lvlText w:val="%3."/>
      <w:lvlJc w:val="left"/>
      <w:pPr>
        <w:ind w:left="851" w:hanging="142"/>
      </w:pPr>
      <w:rPr>
        <w:rFonts w:hAnsi="Arial Unicode MS"/>
        <w:caps w:val="0"/>
        <w:smallCaps w:val="0"/>
        <w:strike w:val="0"/>
        <w:color w:val="000000"/>
        <w:spacing w:val="0"/>
        <w:position w:val="0"/>
        <w:highlight w:val="none"/>
        <w:vertAlign w:val="baseline"/>
      </w:rPr>
    </w:lvl>
    <w:lvl w:ilvl="3">
      <w:start w:val="1"/>
      <w:numFmt w:val="decimal"/>
      <w:isLgl w:val="false"/>
      <w:suff w:val="tab"/>
      <w:lvlText w:val="%3.%4."/>
      <w:lvlJc w:val="left"/>
      <w:pPr>
        <w:ind w:left="842" w:firstLine="136"/>
        <w:tabs>
          <w:tab w:val="num" w:pos="1551" w:leader="none"/>
          <w:tab w:val="left" w:pos="1560" w:leader="none"/>
        </w:tabs>
      </w:pPr>
      <w:rPr>
        <w:rFonts w:hAnsi="Arial Unicode MS"/>
        <w:caps w:val="0"/>
        <w:smallCaps w:val="0"/>
        <w:strike w:val="0"/>
        <w:color w:val="000000"/>
        <w:spacing w:val="0"/>
        <w:position w:val="0"/>
        <w:highlight w:val="none"/>
        <w:vertAlign w:val="baseline"/>
      </w:rPr>
    </w:lvl>
    <w:lvl w:ilvl="4">
      <w:start w:val="1"/>
      <w:numFmt w:val="decimal"/>
      <w:isLgl w:val="false"/>
      <w:suff w:val="tab"/>
      <w:lvlText w:val="%3.%4.%5."/>
      <w:lvlJc w:val="left"/>
      <w:pPr>
        <w:ind w:left="2044" w:firstLine="270"/>
        <w:tabs>
          <w:tab w:val="left" w:pos="1560" w:leader="none"/>
          <w:tab w:val="num" w:pos="2753" w:leader="none"/>
        </w:tabs>
      </w:pPr>
      <w:rPr>
        <w:rFonts w:hAnsi="Arial Unicode MS"/>
        <w:caps w:val="0"/>
        <w:smallCaps w:val="0"/>
        <w:strike w:val="0"/>
        <w:color w:val="000000"/>
        <w:spacing w:val="0"/>
        <w:position w:val="0"/>
        <w:highlight w:val="none"/>
        <w:vertAlign w:val="baseline"/>
      </w:rPr>
    </w:lvl>
    <w:lvl w:ilvl="5">
      <w:start w:val="1"/>
      <w:numFmt w:val="decimal"/>
      <w:isLgl w:val="false"/>
      <w:suff w:val="tab"/>
      <w:lvlText w:val="%3.%4.%5.%6."/>
      <w:lvlJc w:val="left"/>
      <w:pPr>
        <w:ind w:left="2886" w:firstLine="404"/>
        <w:tabs>
          <w:tab w:val="left" w:pos="1560" w:leader="none"/>
          <w:tab w:val="num" w:pos="3595" w:leader="none"/>
        </w:tabs>
      </w:pPr>
      <w:rPr>
        <w:rFonts w:hAnsi="Arial Unicode MS"/>
        <w:caps w:val="0"/>
        <w:smallCaps w:val="0"/>
        <w:strike w:val="0"/>
        <w:color w:val="000000"/>
        <w:spacing w:val="0"/>
        <w:position w:val="0"/>
        <w:highlight w:val="none"/>
        <w:vertAlign w:val="baseline"/>
      </w:rPr>
    </w:lvl>
    <w:lvl w:ilvl="6">
      <w:start w:val="1"/>
      <w:numFmt w:val="decimal"/>
      <w:isLgl w:val="false"/>
      <w:suff w:val="tab"/>
      <w:lvlText w:val="%3.%4.%5.%6.%7."/>
      <w:lvlJc w:val="left"/>
      <w:pPr>
        <w:ind w:left="4088" w:firstLine="538"/>
        <w:tabs>
          <w:tab w:val="left" w:pos="1560" w:leader="none"/>
          <w:tab w:val="num" w:pos="4797" w:leader="none"/>
        </w:tabs>
      </w:pPr>
      <w:rPr>
        <w:rFonts w:hAnsi="Arial Unicode MS"/>
        <w:caps w:val="0"/>
        <w:smallCaps w:val="0"/>
        <w:strike w:val="0"/>
        <w:color w:val="000000"/>
        <w:spacing w:val="0"/>
        <w:position w:val="0"/>
        <w:highlight w:val="none"/>
        <w:vertAlign w:val="baseline"/>
      </w:rPr>
    </w:lvl>
    <w:lvl w:ilvl="7">
      <w:start w:val="1"/>
      <w:numFmt w:val="decimal"/>
      <w:isLgl w:val="false"/>
      <w:suff w:val="tab"/>
      <w:lvlText w:val="%3.%4.%5.%6.%7.%8."/>
      <w:lvlJc w:val="left"/>
      <w:pPr>
        <w:ind w:left="4930" w:hanging="36"/>
        <w:tabs>
          <w:tab w:val="left" w:pos="1560" w:leader="none"/>
          <w:tab w:val="num" w:pos="5639" w:leader="none"/>
        </w:tabs>
      </w:pPr>
      <w:rPr>
        <w:rFonts w:hAnsi="Arial Unicode MS"/>
        <w:caps w:val="0"/>
        <w:smallCaps w:val="0"/>
        <w:strike w:val="0"/>
        <w:color w:val="000000"/>
        <w:spacing w:val="0"/>
        <w:position w:val="0"/>
        <w:highlight w:val="none"/>
        <w:vertAlign w:val="baseline"/>
      </w:rPr>
    </w:lvl>
    <w:lvl w:ilvl="8">
      <w:start w:val="1"/>
      <w:numFmt w:val="decimal"/>
      <w:isLgl w:val="false"/>
      <w:suff w:val="tab"/>
      <w:lvlText w:val="%3.%4.%5.%6.%7.%8.%9."/>
      <w:lvlJc w:val="left"/>
      <w:pPr>
        <w:ind w:left="6132" w:firstLine="338"/>
        <w:tabs>
          <w:tab w:val="left" w:pos="1560" w:leader="none"/>
          <w:tab w:val="num" w:pos="6841" w:leader="none"/>
        </w:tabs>
      </w:pPr>
      <w:rPr>
        <w:rFonts w:hAnsi="Arial Unicode MS"/>
        <w:caps w:val="0"/>
        <w:smallCaps w:val="0"/>
        <w:strike w:val="0"/>
        <w:color w:val="000000"/>
        <w:spacing w:val="0"/>
        <w:position w:val="0"/>
        <w:highlight w:val="none"/>
        <w:vertAlign w:val="baseline"/>
      </w:rPr>
    </w:lvl>
  </w:abstractNum>
  <w:abstractNum w:abstractNumId="13">
    <w:multiLevelType w:val="hybridMultilevel"/>
    <w:styleLink w:val="1327"/>
    <w:lvl w:ilvl="0">
      <w:start w:val="1"/>
      <w:numFmt w:val="bullet"/>
      <w:pStyle w:val="1327"/>
      <w:isLgl w:val="false"/>
      <w:suff w:val="tab"/>
      <w:lvlText w:val="•"/>
      <w:lvlJc w:val="left"/>
      <w:pPr>
        <w:ind w:left="1430" w:hanging="360"/>
      </w:pPr>
      <w:rPr>
        <w:rFonts w:ascii="Symbol" w:hAnsi="Symbol" w:eastAsia="Symbol" w:cs="Symbol"/>
        <w:b w:val="0"/>
        <w:bCs w:val="0"/>
        <w:i w:val="0"/>
        <w:iCs w:val="0"/>
        <w:caps w:val="0"/>
        <w:smallCaps w:val="0"/>
        <w:strike w:val="0"/>
        <w:color w:val="000000"/>
        <w:spacing w:val="0"/>
        <w:position w:val="0"/>
        <w:highlight w:val="none"/>
        <w:vertAlign w:val="baseline"/>
      </w:rPr>
    </w:lvl>
    <w:lvl w:ilvl="1">
      <w:start w:val="1"/>
      <w:numFmt w:val="bullet"/>
      <w:isLgl w:val="false"/>
      <w:suff w:val="tab"/>
      <w:lvlText w:val="o"/>
      <w:lvlJc w:val="left"/>
      <w:pPr>
        <w:ind w:left="2150" w:hanging="360"/>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lvl w:ilvl="2">
      <w:start w:val="1"/>
      <w:numFmt w:val="bullet"/>
      <w:isLgl w:val="false"/>
      <w:suff w:val="tab"/>
      <w:lvlText w:val="▪"/>
      <w:lvlJc w:val="left"/>
      <w:pPr>
        <w:ind w:left="2870" w:hanging="360"/>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lvl w:ilvl="3">
      <w:start w:val="1"/>
      <w:numFmt w:val="bullet"/>
      <w:isLgl w:val="false"/>
      <w:suff w:val="tab"/>
      <w:lvlText w:val="•"/>
      <w:lvlJc w:val="left"/>
      <w:pPr>
        <w:ind w:left="3590" w:hanging="360"/>
      </w:pPr>
      <w:rPr>
        <w:rFonts w:ascii="Symbol" w:hAnsi="Symbol" w:eastAsia="Symbol" w:cs="Symbol"/>
        <w:b w:val="0"/>
        <w:bCs w:val="0"/>
        <w:i w:val="0"/>
        <w:iCs w:val="0"/>
        <w:caps w:val="0"/>
        <w:smallCaps w:val="0"/>
        <w:strike w:val="0"/>
        <w:color w:val="000000"/>
        <w:spacing w:val="0"/>
        <w:position w:val="0"/>
        <w:highlight w:val="none"/>
        <w:vertAlign w:val="baseline"/>
      </w:rPr>
    </w:lvl>
    <w:lvl w:ilvl="4">
      <w:start w:val="1"/>
      <w:numFmt w:val="bullet"/>
      <w:isLgl w:val="false"/>
      <w:suff w:val="tab"/>
      <w:lvlText w:val="o"/>
      <w:lvlJc w:val="left"/>
      <w:pPr>
        <w:ind w:left="4310" w:hanging="360"/>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lvl w:ilvl="5">
      <w:start w:val="1"/>
      <w:numFmt w:val="bullet"/>
      <w:isLgl w:val="false"/>
      <w:suff w:val="tab"/>
      <w:lvlText w:val="▪"/>
      <w:lvlJc w:val="left"/>
      <w:pPr>
        <w:ind w:left="5030" w:hanging="360"/>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lvl w:ilvl="6">
      <w:start w:val="1"/>
      <w:numFmt w:val="bullet"/>
      <w:isLgl w:val="false"/>
      <w:suff w:val="tab"/>
      <w:lvlText w:val="•"/>
      <w:lvlJc w:val="left"/>
      <w:pPr>
        <w:ind w:left="5750" w:hanging="360"/>
      </w:pPr>
      <w:rPr>
        <w:rFonts w:ascii="Symbol" w:hAnsi="Symbol" w:eastAsia="Symbol" w:cs="Symbol"/>
        <w:b w:val="0"/>
        <w:bCs w:val="0"/>
        <w:i w:val="0"/>
        <w:iCs w:val="0"/>
        <w:caps w:val="0"/>
        <w:smallCaps w:val="0"/>
        <w:strike w:val="0"/>
        <w:color w:val="000000"/>
        <w:spacing w:val="0"/>
        <w:position w:val="0"/>
        <w:highlight w:val="none"/>
        <w:vertAlign w:val="baseline"/>
      </w:rPr>
    </w:lvl>
    <w:lvl w:ilvl="7">
      <w:start w:val="1"/>
      <w:numFmt w:val="bullet"/>
      <w:isLgl w:val="false"/>
      <w:suff w:val="tab"/>
      <w:lvlText w:val="o"/>
      <w:lvlJc w:val="left"/>
      <w:pPr>
        <w:ind w:left="6470" w:hanging="360"/>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lvl w:ilvl="8">
      <w:start w:val="1"/>
      <w:numFmt w:val="bullet"/>
      <w:isLgl w:val="false"/>
      <w:suff w:val="tab"/>
      <w:lvlText w:val="▪"/>
      <w:lvlJc w:val="left"/>
      <w:pPr>
        <w:ind w:left="7190" w:hanging="360"/>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abstractNum>
  <w:abstractNum w:abstractNumId="14">
    <w:multiLevelType w:val="hybridMultilevel"/>
    <w:lvl w:ilvl="0">
      <w:start w:val="1"/>
      <w:numFmt w:val="decimal"/>
      <w:isLgl w:val="false"/>
      <w:suff w:val="tab"/>
      <w:lvlText w:val="%1."/>
      <w:lvlJc w:val="left"/>
      <w:pPr>
        <w:ind w:left="1069" w:hanging="360"/>
      </w:pPr>
      <w:rPr>
        <w:rFonts w:hint="default"/>
        <w:b/>
      </w:rPr>
    </w:lvl>
    <w:lvl w:ilvl="1">
      <w:start w:val="1"/>
      <w:numFmt w:val="lowerLetter"/>
      <w:isLgl w:val="false"/>
      <w:suff w:val="tab"/>
      <w:lvlText w:val="%2."/>
      <w:lvlJc w:val="left"/>
      <w:pPr>
        <w:ind w:left="1789" w:hanging="360"/>
      </w:pPr>
    </w:lvl>
    <w:lvl w:ilvl="2">
      <w:start w:val="1"/>
      <w:numFmt w:val="lowerRoman"/>
      <w:isLgl w:val="false"/>
      <w:suff w:val="tab"/>
      <w:lvlText w:val="%3."/>
      <w:lvlJc w:val="right"/>
      <w:pPr>
        <w:ind w:left="2509" w:hanging="180"/>
      </w:pPr>
    </w:lvl>
    <w:lvl w:ilvl="3">
      <w:start w:val="1"/>
      <w:numFmt w:val="decimal"/>
      <w:isLgl w:val="false"/>
      <w:suff w:val="tab"/>
      <w:lvlText w:val="%4."/>
      <w:lvlJc w:val="left"/>
      <w:pPr>
        <w:ind w:left="3229" w:hanging="360"/>
      </w:pPr>
    </w:lvl>
    <w:lvl w:ilvl="4">
      <w:start w:val="1"/>
      <w:numFmt w:val="lowerLetter"/>
      <w:isLgl w:val="false"/>
      <w:suff w:val="tab"/>
      <w:lvlText w:val="%5."/>
      <w:lvlJc w:val="left"/>
      <w:pPr>
        <w:ind w:left="3949" w:hanging="360"/>
      </w:pPr>
    </w:lvl>
    <w:lvl w:ilvl="5">
      <w:start w:val="1"/>
      <w:numFmt w:val="lowerRoman"/>
      <w:isLgl w:val="false"/>
      <w:suff w:val="tab"/>
      <w:lvlText w:val="%6."/>
      <w:lvlJc w:val="right"/>
      <w:pPr>
        <w:ind w:left="4669" w:hanging="180"/>
      </w:pPr>
    </w:lvl>
    <w:lvl w:ilvl="6">
      <w:start w:val="1"/>
      <w:numFmt w:val="decimal"/>
      <w:isLgl w:val="false"/>
      <w:suff w:val="tab"/>
      <w:lvlText w:val="%7."/>
      <w:lvlJc w:val="left"/>
      <w:pPr>
        <w:ind w:left="5389" w:hanging="360"/>
      </w:pPr>
    </w:lvl>
    <w:lvl w:ilvl="7">
      <w:start w:val="1"/>
      <w:numFmt w:val="lowerLetter"/>
      <w:isLgl w:val="false"/>
      <w:suff w:val="tab"/>
      <w:lvlText w:val="%8."/>
      <w:lvlJc w:val="left"/>
      <w:pPr>
        <w:ind w:left="6109" w:hanging="360"/>
      </w:pPr>
    </w:lvl>
    <w:lvl w:ilvl="8">
      <w:start w:val="1"/>
      <w:numFmt w:val="lowerRoman"/>
      <w:isLgl w:val="false"/>
      <w:suff w:val="tab"/>
      <w:lvlText w:val="%9."/>
      <w:lvlJc w:val="right"/>
      <w:pPr>
        <w:ind w:left="6829" w:hanging="180"/>
      </w:pPr>
    </w:lvl>
  </w:abstractNum>
  <w:abstractNum w:abstractNumId="15">
    <w:multiLevelType w:val="hybridMultilevel"/>
    <w:styleLink w:val="1366"/>
    <w:lvl w:ilvl="0">
      <w:start w:val="1"/>
      <w:numFmt w:val="bullet"/>
      <w:pStyle w:val="1366"/>
      <w:isLgl w:val="false"/>
      <w:suff w:val="tab"/>
      <w:lvlText w:val="-"/>
      <w:lvlJc w:val="left"/>
      <w:pPr>
        <w:ind w:left="371" w:firstLine="338"/>
        <w:tabs>
          <w:tab w:val="num" w:pos="1080" w:leader="none"/>
        </w:tabs>
      </w:pPr>
      <w:rPr>
        <w:rFonts w:ascii="Tahoma" w:hAnsi="Tahoma" w:eastAsia="Tahoma" w:cs="Tahoma"/>
        <w:b w:val="0"/>
        <w:bCs w:val="0"/>
        <w:i w:val="0"/>
        <w:iCs w:val="0"/>
        <w:caps w:val="0"/>
        <w:smallCaps w:val="0"/>
        <w:strike w:val="0"/>
        <w:color w:val="000000"/>
        <w:spacing w:val="0"/>
        <w:position w:val="0"/>
        <w:highlight w:val="none"/>
        <w:vertAlign w:val="baseline"/>
      </w:rPr>
    </w:lvl>
    <w:lvl w:ilvl="1">
      <w:start w:val="1"/>
      <w:numFmt w:val="bullet"/>
      <w:isLgl w:val="false"/>
      <w:suff w:val="tab"/>
      <w:lvlText w:val="o"/>
      <w:lvlJc w:val="left"/>
      <w:pPr>
        <w:ind w:left="720" w:firstLine="338"/>
        <w:tabs>
          <w:tab w:val="left" w:pos="1080" w:leader="none"/>
          <w:tab w:val="num" w:pos="1429" w:leader="none"/>
        </w:tabs>
      </w:pPr>
      <w:rPr>
        <w:rFonts w:ascii="Tahoma" w:hAnsi="Tahoma" w:eastAsia="Tahoma" w:cs="Tahoma"/>
        <w:b w:val="0"/>
        <w:bCs w:val="0"/>
        <w:i w:val="0"/>
        <w:iCs w:val="0"/>
        <w:caps w:val="0"/>
        <w:smallCaps w:val="0"/>
        <w:strike w:val="0"/>
        <w:color w:val="000000"/>
        <w:spacing w:val="0"/>
        <w:position w:val="0"/>
        <w:highlight w:val="none"/>
        <w:vertAlign w:val="baseline"/>
      </w:rPr>
    </w:lvl>
    <w:lvl w:ilvl="2">
      <w:start w:val="1"/>
      <w:numFmt w:val="bullet"/>
      <w:isLgl w:val="false"/>
      <w:suff w:val="tab"/>
      <w:lvlText w:val="▪"/>
      <w:lvlJc w:val="left"/>
      <w:pPr>
        <w:ind w:left="1440" w:firstLine="338"/>
        <w:tabs>
          <w:tab w:val="left" w:pos="1080" w:leader="none"/>
          <w:tab w:val="num" w:pos="2149" w:leader="none"/>
        </w:tabs>
      </w:pPr>
      <w:rPr>
        <w:rFonts w:ascii="Tahoma" w:hAnsi="Tahoma" w:eastAsia="Tahoma" w:cs="Tahoma"/>
        <w:b w:val="0"/>
        <w:bCs w:val="0"/>
        <w:i w:val="0"/>
        <w:iCs w:val="0"/>
        <w:caps w:val="0"/>
        <w:smallCaps w:val="0"/>
        <w:strike w:val="0"/>
        <w:color w:val="000000"/>
        <w:spacing w:val="0"/>
        <w:position w:val="0"/>
        <w:highlight w:val="none"/>
        <w:vertAlign w:val="baseline"/>
      </w:rPr>
    </w:lvl>
    <w:lvl w:ilvl="3">
      <w:start w:val="1"/>
      <w:numFmt w:val="bullet"/>
      <w:isLgl w:val="false"/>
      <w:suff w:val="tab"/>
      <w:lvlText w:val="•"/>
      <w:lvlJc w:val="left"/>
      <w:pPr>
        <w:ind w:left="2160" w:firstLine="338"/>
        <w:tabs>
          <w:tab w:val="left" w:pos="1080" w:leader="none"/>
          <w:tab w:val="num" w:pos="2869" w:leader="none"/>
        </w:tabs>
      </w:pPr>
      <w:rPr>
        <w:rFonts w:ascii="Tahoma" w:hAnsi="Tahoma" w:eastAsia="Tahoma" w:cs="Tahoma"/>
        <w:b w:val="0"/>
        <w:bCs w:val="0"/>
        <w:i w:val="0"/>
        <w:iCs w:val="0"/>
        <w:caps w:val="0"/>
        <w:smallCaps w:val="0"/>
        <w:strike w:val="0"/>
        <w:color w:val="000000"/>
        <w:spacing w:val="0"/>
        <w:position w:val="0"/>
        <w:highlight w:val="none"/>
        <w:vertAlign w:val="baseline"/>
      </w:rPr>
    </w:lvl>
    <w:lvl w:ilvl="4">
      <w:start w:val="1"/>
      <w:numFmt w:val="bullet"/>
      <w:isLgl w:val="false"/>
      <w:suff w:val="tab"/>
      <w:lvlText w:val="o"/>
      <w:lvlJc w:val="left"/>
      <w:pPr>
        <w:ind w:left="2880" w:firstLine="338"/>
        <w:tabs>
          <w:tab w:val="left" w:pos="1080" w:leader="none"/>
          <w:tab w:val="num" w:pos="3589" w:leader="none"/>
        </w:tabs>
      </w:pPr>
      <w:rPr>
        <w:rFonts w:ascii="Tahoma" w:hAnsi="Tahoma" w:eastAsia="Tahoma" w:cs="Tahoma"/>
        <w:b w:val="0"/>
        <w:bCs w:val="0"/>
        <w:i w:val="0"/>
        <w:iCs w:val="0"/>
        <w:caps w:val="0"/>
        <w:smallCaps w:val="0"/>
        <w:strike w:val="0"/>
        <w:color w:val="000000"/>
        <w:spacing w:val="0"/>
        <w:position w:val="0"/>
        <w:highlight w:val="none"/>
        <w:vertAlign w:val="baseline"/>
      </w:rPr>
    </w:lvl>
    <w:lvl w:ilvl="5">
      <w:start w:val="1"/>
      <w:numFmt w:val="bullet"/>
      <w:isLgl w:val="false"/>
      <w:suff w:val="tab"/>
      <w:lvlText w:val="▪"/>
      <w:lvlJc w:val="left"/>
      <w:pPr>
        <w:ind w:left="3600" w:firstLine="338"/>
        <w:tabs>
          <w:tab w:val="left" w:pos="1080" w:leader="none"/>
          <w:tab w:val="num" w:pos="4309" w:leader="none"/>
        </w:tabs>
      </w:pPr>
      <w:rPr>
        <w:rFonts w:ascii="Tahoma" w:hAnsi="Tahoma" w:eastAsia="Tahoma" w:cs="Tahoma"/>
        <w:b w:val="0"/>
        <w:bCs w:val="0"/>
        <w:i w:val="0"/>
        <w:iCs w:val="0"/>
        <w:caps w:val="0"/>
        <w:smallCaps w:val="0"/>
        <w:strike w:val="0"/>
        <w:color w:val="000000"/>
        <w:spacing w:val="0"/>
        <w:position w:val="0"/>
        <w:highlight w:val="none"/>
        <w:vertAlign w:val="baseline"/>
      </w:rPr>
    </w:lvl>
    <w:lvl w:ilvl="6">
      <w:start w:val="1"/>
      <w:numFmt w:val="bullet"/>
      <w:isLgl w:val="false"/>
      <w:suff w:val="tab"/>
      <w:lvlText w:val="•"/>
      <w:lvlJc w:val="left"/>
      <w:pPr>
        <w:ind w:left="4320" w:firstLine="338"/>
        <w:tabs>
          <w:tab w:val="left" w:pos="1080" w:leader="none"/>
          <w:tab w:val="num" w:pos="5029" w:leader="none"/>
        </w:tabs>
      </w:pPr>
      <w:rPr>
        <w:rFonts w:ascii="Tahoma" w:hAnsi="Tahoma" w:eastAsia="Tahoma" w:cs="Tahoma"/>
        <w:b w:val="0"/>
        <w:bCs w:val="0"/>
        <w:i w:val="0"/>
        <w:iCs w:val="0"/>
        <w:caps w:val="0"/>
        <w:smallCaps w:val="0"/>
        <w:strike w:val="0"/>
        <w:color w:val="000000"/>
        <w:spacing w:val="0"/>
        <w:position w:val="0"/>
        <w:highlight w:val="none"/>
        <w:vertAlign w:val="baseline"/>
      </w:rPr>
    </w:lvl>
    <w:lvl w:ilvl="7">
      <w:start w:val="1"/>
      <w:numFmt w:val="bullet"/>
      <w:isLgl w:val="false"/>
      <w:suff w:val="tab"/>
      <w:lvlText w:val="o"/>
      <w:lvlJc w:val="left"/>
      <w:pPr>
        <w:ind w:left="5040" w:firstLine="338"/>
        <w:tabs>
          <w:tab w:val="left" w:pos="1080" w:leader="none"/>
          <w:tab w:val="num" w:pos="5749" w:leader="none"/>
        </w:tabs>
      </w:pPr>
      <w:rPr>
        <w:rFonts w:ascii="Tahoma" w:hAnsi="Tahoma" w:eastAsia="Tahoma" w:cs="Tahoma"/>
        <w:b w:val="0"/>
        <w:bCs w:val="0"/>
        <w:i w:val="0"/>
        <w:iCs w:val="0"/>
        <w:caps w:val="0"/>
        <w:smallCaps w:val="0"/>
        <w:strike w:val="0"/>
        <w:color w:val="000000"/>
        <w:spacing w:val="0"/>
        <w:position w:val="0"/>
        <w:highlight w:val="none"/>
        <w:vertAlign w:val="baseline"/>
      </w:rPr>
    </w:lvl>
    <w:lvl w:ilvl="8">
      <w:start w:val="1"/>
      <w:numFmt w:val="bullet"/>
      <w:isLgl w:val="false"/>
      <w:suff w:val="tab"/>
      <w:lvlText w:val="▪"/>
      <w:lvlJc w:val="left"/>
      <w:pPr>
        <w:ind w:left="5760" w:firstLine="338"/>
        <w:tabs>
          <w:tab w:val="left" w:pos="1080" w:leader="none"/>
          <w:tab w:val="num" w:pos="6469" w:leader="none"/>
        </w:tabs>
      </w:pPr>
      <w:rPr>
        <w:rFonts w:ascii="Tahoma" w:hAnsi="Tahoma" w:eastAsia="Tahoma" w:cs="Tahoma"/>
        <w:b w:val="0"/>
        <w:bCs w:val="0"/>
        <w:i w:val="0"/>
        <w:iCs w:val="0"/>
        <w:caps w:val="0"/>
        <w:smallCaps w:val="0"/>
        <w:strike w:val="0"/>
        <w:color w:val="000000"/>
        <w:spacing w:val="0"/>
        <w:position w:val="0"/>
        <w:highlight w:val="none"/>
        <w:vertAlign w:val="baseline"/>
      </w:rPr>
    </w:lvl>
  </w:abstractNum>
  <w:abstractNum w:abstractNumId="16">
    <w:multiLevelType w:val="hybridMultilevel"/>
    <w:styleLink w:val="1389"/>
    <w:lvl w:ilvl="0">
      <w:start w:val="1"/>
      <w:numFmt w:val="decimal"/>
      <w:pStyle w:val="1389"/>
      <w:isLgl w:val="false"/>
      <w:suff w:val="tab"/>
      <w:lvlText w:val="%1)"/>
      <w:lvlJc w:val="left"/>
      <w:pPr>
        <w:ind w:left="371" w:firstLine="338"/>
        <w:tabs>
          <w:tab w:val="left" w:pos="360" w:leader="none"/>
          <w:tab w:val="num" w:pos="1080" w:leader="none"/>
        </w:tabs>
      </w:pPr>
      <w:rPr>
        <w:rFonts w:hAnsi="Arial Unicode MS"/>
        <w:caps w:val="0"/>
        <w:smallCaps w:val="0"/>
        <w:strike w:val="0"/>
        <w:color w:val="000000"/>
        <w:spacing w:val="0"/>
        <w:position w:val="0"/>
        <w:highlight w:val="none"/>
        <w:vertAlign w:val="baseline"/>
      </w:rPr>
    </w:lvl>
    <w:lvl w:ilvl="1">
      <w:start w:val="1"/>
      <w:numFmt w:val="lowerLetter"/>
      <w:isLgl w:val="false"/>
      <w:suff w:val="tab"/>
      <w:lvlText w:val="%2."/>
      <w:lvlJc w:val="left"/>
      <w:pPr>
        <w:ind w:left="1080" w:firstLine="374"/>
        <w:tabs>
          <w:tab w:val="left" w:pos="360" w:leader="none"/>
          <w:tab w:val="left" w:pos="1080" w:leader="none"/>
          <w:tab w:val="num" w:pos="1789" w:leader="none"/>
        </w:tabs>
      </w:pPr>
      <w:rPr>
        <w:rFonts w:hAnsi="Arial Unicode MS"/>
        <w:caps w:val="0"/>
        <w:smallCaps w:val="0"/>
        <w:strike w:val="0"/>
        <w:color w:val="000000"/>
        <w:spacing w:val="0"/>
        <w:position w:val="0"/>
        <w:highlight w:val="none"/>
        <w:vertAlign w:val="baseline"/>
      </w:rPr>
    </w:lvl>
    <w:lvl w:ilvl="2">
      <w:start w:val="1"/>
      <w:numFmt w:val="lowerRoman"/>
      <w:isLgl w:val="false"/>
      <w:suff w:val="tab"/>
      <w:lvlText w:val="%3."/>
      <w:lvlJc w:val="left"/>
      <w:pPr>
        <w:ind w:left="1800" w:firstLine="461"/>
        <w:tabs>
          <w:tab w:val="left" w:pos="360" w:leader="none"/>
          <w:tab w:val="left" w:pos="1080" w:leader="none"/>
          <w:tab w:val="num" w:pos="2509" w:leader="none"/>
        </w:tabs>
      </w:pPr>
      <w:rPr>
        <w:rFonts w:hAnsi="Arial Unicode MS"/>
        <w:caps w:val="0"/>
        <w:smallCaps w:val="0"/>
        <w:strike w:val="0"/>
        <w:color w:val="000000"/>
        <w:spacing w:val="0"/>
        <w:position w:val="0"/>
        <w:highlight w:val="none"/>
        <w:vertAlign w:val="baseline"/>
      </w:rPr>
    </w:lvl>
    <w:lvl w:ilvl="3">
      <w:start w:val="1"/>
      <w:numFmt w:val="decimal"/>
      <w:isLgl w:val="false"/>
      <w:suff w:val="tab"/>
      <w:lvlText w:val="%4."/>
      <w:lvlJc w:val="left"/>
      <w:pPr>
        <w:ind w:left="2520" w:firstLine="398"/>
        <w:tabs>
          <w:tab w:val="left" w:pos="360" w:leader="none"/>
          <w:tab w:val="left" w:pos="1080" w:leader="none"/>
          <w:tab w:val="num" w:pos="3229" w:leader="none"/>
        </w:tabs>
      </w:pPr>
      <w:rPr>
        <w:rFonts w:hAnsi="Arial Unicode MS"/>
        <w:caps w:val="0"/>
        <w:smallCaps w:val="0"/>
        <w:strike w:val="0"/>
        <w:color w:val="000000"/>
        <w:spacing w:val="0"/>
        <w:position w:val="0"/>
        <w:highlight w:val="none"/>
        <w:vertAlign w:val="baseline"/>
      </w:rPr>
    </w:lvl>
    <w:lvl w:ilvl="4">
      <w:start w:val="1"/>
      <w:numFmt w:val="lowerLetter"/>
      <w:isLgl w:val="false"/>
      <w:suff w:val="tab"/>
      <w:lvlText w:val="%5."/>
      <w:lvlJc w:val="left"/>
      <w:pPr>
        <w:ind w:left="3240" w:firstLine="410"/>
        <w:tabs>
          <w:tab w:val="left" w:pos="360" w:leader="none"/>
          <w:tab w:val="left" w:pos="1080" w:leader="none"/>
          <w:tab w:val="num" w:pos="3949" w:leader="none"/>
        </w:tabs>
      </w:pPr>
      <w:rPr>
        <w:rFonts w:hAnsi="Arial Unicode MS"/>
        <w:caps w:val="0"/>
        <w:smallCaps w:val="0"/>
        <w:strike w:val="0"/>
        <w:color w:val="000000"/>
        <w:spacing w:val="0"/>
        <w:position w:val="0"/>
        <w:highlight w:val="none"/>
        <w:vertAlign w:val="baseline"/>
      </w:rPr>
    </w:lvl>
    <w:lvl w:ilvl="5">
      <w:start w:val="1"/>
      <w:numFmt w:val="lowerRoman"/>
      <w:isLgl w:val="false"/>
      <w:suff w:val="tab"/>
      <w:lvlText w:val="%6."/>
      <w:lvlJc w:val="left"/>
      <w:pPr>
        <w:ind w:left="3960" w:firstLine="497"/>
        <w:tabs>
          <w:tab w:val="left" w:pos="360" w:leader="none"/>
          <w:tab w:val="left" w:pos="1080" w:leader="none"/>
          <w:tab w:val="num" w:pos="4669" w:leader="none"/>
        </w:tabs>
      </w:pPr>
      <w:rPr>
        <w:rFonts w:hAnsi="Arial Unicode MS"/>
        <w:caps w:val="0"/>
        <w:smallCaps w:val="0"/>
        <w:strike w:val="0"/>
        <w:color w:val="000000"/>
        <w:spacing w:val="0"/>
        <w:position w:val="0"/>
        <w:highlight w:val="none"/>
        <w:vertAlign w:val="baseline"/>
      </w:rPr>
    </w:lvl>
    <w:lvl w:ilvl="6">
      <w:start w:val="1"/>
      <w:numFmt w:val="decimal"/>
      <w:isLgl w:val="false"/>
      <w:suff w:val="tab"/>
      <w:lvlText w:val="%7."/>
      <w:lvlJc w:val="left"/>
      <w:pPr>
        <w:ind w:left="4680" w:firstLine="434"/>
        <w:tabs>
          <w:tab w:val="left" w:pos="360" w:leader="none"/>
          <w:tab w:val="left" w:pos="1080" w:leader="none"/>
          <w:tab w:val="num" w:pos="5389" w:leader="none"/>
        </w:tabs>
      </w:pPr>
      <w:rPr>
        <w:rFonts w:hAnsi="Arial Unicode MS"/>
        <w:caps w:val="0"/>
        <w:smallCaps w:val="0"/>
        <w:strike w:val="0"/>
        <w:color w:val="000000"/>
        <w:spacing w:val="0"/>
        <w:position w:val="0"/>
        <w:highlight w:val="none"/>
        <w:vertAlign w:val="baseline"/>
      </w:rPr>
    </w:lvl>
    <w:lvl w:ilvl="7">
      <w:start w:val="1"/>
      <w:numFmt w:val="lowerLetter"/>
      <w:isLgl w:val="false"/>
      <w:suff w:val="tab"/>
      <w:lvlText w:val="%8."/>
      <w:lvlJc w:val="left"/>
      <w:pPr>
        <w:ind w:left="5400" w:firstLine="446"/>
        <w:tabs>
          <w:tab w:val="left" w:pos="360" w:leader="none"/>
          <w:tab w:val="left" w:pos="1080" w:leader="none"/>
          <w:tab w:val="num" w:pos="6109" w:leader="none"/>
        </w:tabs>
      </w:pPr>
      <w:rPr>
        <w:rFonts w:hAnsi="Arial Unicode MS"/>
        <w:caps w:val="0"/>
        <w:smallCaps w:val="0"/>
        <w:strike w:val="0"/>
        <w:color w:val="000000"/>
        <w:spacing w:val="0"/>
        <w:position w:val="0"/>
        <w:highlight w:val="none"/>
        <w:vertAlign w:val="baseline"/>
      </w:rPr>
    </w:lvl>
    <w:lvl w:ilvl="8">
      <w:start w:val="1"/>
      <w:numFmt w:val="lowerRoman"/>
      <w:isLgl w:val="false"/>
      <w:suff w:val="tab"/>
      <w:lvlText w:val="%9."/>
      <w:lvlJc w:val="left"/>
      <w:pPr>
        <w:ind w:left="6120" w:firstLine="533"/>
        <w:tabs>
          <w:tab w:val="left" w:pos="360" w:leader="none"/>
          <w:tab w:val="left" w:pos="1080" w:leader="none"/>
          <w:tab w:val="num" w:pos="6829" w:leader="none"/>
        </w:tabs>
      </w:pPr>
      <w:rPr>
        <w:rFonts w:hAnsi="Arial Unicode MS"/>
        <w:caps w:val="0"/>
        <w:smallCaps w:val="0"/>
        <w:strike w:val="0"/>
        <w:color w:val="000000"/>
        <w:spacing w:val="0"/>
        <w:position w:val="0"/>
        <w:highlight w:val="none"/>
        <w:vertAlign w:val="baseline"/>
      </w:rPr>
    </w:lvl>
  </w:abstractNum>
  <w:abstractNum w:abstractNumId="17">
    <w:multiLevelType w:val="hybridMultilevel"/>
    <w:styleLink w:val="1388"/>
    <w:lvl w:ilvl="0">
      <w:start w:val="1"/>
      <w:numFmt w:val="decimal"/>
      <w:pStyle w:val="1388"/>
      <w:isLgl w:val="false"/>
      <w:suff w:val="tab"/>
      <w:lvlText w:val="%1)"/>
      <w:lvlJc w:val="left"/>
      <w:pPr>
        <w:ind w:left="371" w:firstLine="338"/>
        <w:tabs>
          <w:tab w:val="left" w:pos="360" w:leader="none"/>
          <w:tab w:val="num" w:pos="1080" w:leader="none"/>
        </w:tabs>
      </w:pPr>
      <w:rPr>
        <w:rFonts w:hAnsi="Arial Unicode MS"/>
        <w:caps w:val="0"/>
        <w:smallCaps w:val="0"/>
        <w:strike w:val="0"/>
        <w:color w:val="000000"/>
        <w:spacing w:val="0"/>
        <w:position w:val="0"/>
        <w:highlight w:val="none"/>
        <w:vertAlign w:val="baseline"/>
      </w:rPr>
    </w:lvl>
    <w:lvl w:ilvl="1">
      <w:start w:val="1"/>
      <w:numFmt w:val="lowerLetter"/>
      <w:isLgl w:val="false"/>
      <w:suff w:val="tab"/>
      <w:lvlText w:val="%2."/>
      <w:lvlJc w:val="left"/>
      <w:pPr>
        <w:ind w:left="1080" w:firstLine="374"/>
        <w:tabs>
          <w:tab w:val="left" w:pos="360" w:leader="none"/>
          <w:tab w:val="left" w:pos="1080" w:leader="none"/>
          <w:tab w:val="num" w:pos="1789" w:leader="none"/>
        </w:tabs>
      </w:pPr>
      <w:rPr>
        <w:rFonts w:hAnsi="Arial Unicode MS"/>
        <w:caps w:val="0"/>
        <w:smallCaps w:val="0"/>
        <w:strike w:val="0"/>
        <w:color w:val="000000"/>
        <w:spacing w:val="0"/>
        <w:position w:val="0"/>
        <w:highlight w:val="none"/>
        <w:vertAlign w:val="baseline"/>
      </w:rPr>
    </w:lvl>
    <w:lvl w:ilvl="2">
      <w:start w:val="1"/>
      <w:numFmt w:val="lowerRoman"/>
      <w:isLgl w:val="false"/>
      <w:suff w:val="tab"/>
      <w:lvlText w:val="%3."/>
      <w:lvlJc w:val="left"/>
      <w:pPr>
        <w:ind w:left="1800" w:firstLine="461"/>
        <w:tabs>
          <w:tab w:val="left" w:pos="360" w:leader="none"/>
          <w:tab w:val="left" w:pos="1080" w:leader="none"/>
          <w:tab w:val="num" w:pos="2509" w:leader="none"/>
        </w:tabs>
      </w:pPr>
      <w:rPr>
        <w:rFonts w:hAnsi="Arial Unicode MS"/>
        <w:caps w:val="0"/>
        <w:smallCaps w:val="0"/>
        <w:strike w:val="0"/>
        <w:color w:val="000000"/>
        <w:spacing w:val="0"/>
        <w:position w:val="0"/>
        <w:highlight w:val="none"/>
        <w:vertAlign w:val="baseline"/>
      </w:rPr>
    </w:lvl>
    <w:lvl w:ilvl="3">
      <w:start w:val="1"/>
      <w:numFmt w:val="decimal"/>
      <w:isLgl w:val="false"/>
      <w:suff w:val="tab"/>
      <w:lvlText w:val="%4."/>
      <w:lvlJc w:val="left"/>
      <w:pPr>
        <w:ind w:left="2520" w:firstLine="398"/>
        <w:tabs>
          <w:tab w:val="left" w:pos="360" w:leader="none"/>
          <w:tab w:val="left" w:pos="1080" w:leader="none"/>
          <w:tab w:val="num" w:pos="3229" w:leader="none"/>
        </w:tabs>
      </w:pPr>
      <w:rPr>
        <w:rFonts w:hAnsi="Arial Unicode MS"/>
        <w:caps w:val="0"/>
        <w:smallCaps w:val="0"/>
        <w:strike w:val="0"/>
        <w:color w:val="000000"/>
        <w:spacing w:val="0"/>
        <w:position w:val="0"/>
        <w:highlight w:val="none"/>
        <w:vertAlign w:val="baseline"/>
      </w:rPr>
    </w:lvl>
    <w:lvl w:ilvl="4">
      <w:start w:val="1"/>
      <w:numFmt w:val="lowerLetter"/>
      <w:isLgl w:val="false"/>
      <w:suff w:val="tab"/>
      <w:lvlText w:val="%5."/>
      <w:lvlJc w:val="left"/>
      <w:pPr>
        <w:ind w:left="3240" w:firstLine="410"/>
        <w:tabs>
          <w:tab w:val="left" w:pos="360" w:leader="none"/>
          <w:tab w:val="left" w:pos="1080" w:leader="none"/>
          <w:tab w:val="num" w:pos="3949" w:leader="none"/>
        </w:tabs>
      </w:pPr>
      <w:rPr>
        <w:rFonts w:hAnsi="Arial Unicode MS"/>
        <w:caps w:val="0"/>
        <w:smallCaps w:val="0"/>
        <w:strike w:val="0"/>
        <w:color w:val="000000"/>
        <w:spacing w:val="0"/>
        <w:position w:val="0"/>
        <w:highlight w:val="none"/>
        <w:vertAlign w:val="baseline"/>
      </w:rPr>
    </w:lvl>
    <w:lvl w:ilvl="5">
      <w:start w:val="1"/>
      <w:numFmt w:val="lowerRoman"/>
      <w:isLgl w:val="false"/>
      <w:suff w:val="tab"/>
      <w:lvlText w:val="%6."/>
      <w:lvlJc w:val="left"/>
      <w:pPr>
        <w:ind w:left="3960" w:firstLine="497"/>
        <w:tabs>
          <w:tab w:val="left" w:pos="360" w:leader="none"/>
          <w:tab w:val="left" w:pos="1080" w:leader="none"/>
          <w:tab w:val="num" w:pos="4669" w:leader="none"/>
        </w:tabs>
      </w:pPr>
      <w:rPr>
        <w:rFonts w:hAnsi="Arial Unicode MS"/>
        <w:caps w:val="0"/>
        <w:smallCaps w:val="0"/>
        <w:strike w:val="0"/>
        <w:color w:val="000000"/>
        <w:spacing w:val="0"/>
        <w:position w:val="0"/>
        <w:highlight w:val="none"/>
        <w:vertAlign w:val="baseline"/>
      </w:rPr>
    </w:lvl>
    <w:lvl w:ilvl="6">
      <w:start w:val="1"/>
      <w:numFmt w:val="decimal"/>
      <w:isLgl w:val="false"/>
      <w:suff w:val="tab"/>
      <w:lvlText w:val="%7."/>
      <w:lvlJc w:val="left"/>
      <w:pPr>
        <w:ind w:left="4680" w:firstLine="434"/>
        <w:tabs>
          <w:tab w:val="left" w:pos="360" w:leader="none"/>
          <w:tab w:val="left" w:pos="1080" w:leader="none"/>
          <w:tab w:val="num" w:pos="5389" w:leader="none"/>
        </w:tabs>
      </w:pPr>
      <w:rPr>
        <w:rFonts w:hAnsi="Arial Unicode MS"/>
        <w:caps w:val="0"/>
        <w:smallCaps w:val="0"/>
        <w:strike w:val="0"/>
        <w:color w:val="000000"/>
        <w:spacing w:val="0"/>
        <w:position w:val="0"/>
        <w:highlight w:val="none"/>
        <w:vertAlign w:val="baseline"/>
      </w:rPr>
    </w:lvl>
    <w:lvl w:ilvl="7">
      <w:start w:val="1"/>
      <w:numFmt w:val="lowerLetter"/>
      <w:isLgl w:val="false"/>
      <w:suff w:val="tab"/>
      <w:lvlText w:val="%8."/>
      <w:lvlJc w:val="left"/>
      <w:pPr>
        <w:ind w:left="5400" w:firstLine="446"/>
        <w:tabs>
          <w:tab w:val="left" w:pos="360" w:leader="none"/>
          <w:tab w:val="left" w:pos="1080" w:leader="none"/>
          <w:tab w:val="num" w:pos="6109" w:leader="none"/>
        </w:tabs>
      </w:pPr>
      <w:rPr>
        <w:rFonts w:hAnsi="Arial Unicode MS"/>
        <w:caps w:val="0"/>
        <w:smallCaps w:val="0"/>
        <w:strike w:val="0"/>
        <w:color w:val="000000"/>
        <w:spacing w:val="0"/>
        <w:position w:val="0"/>
        <w:highlight w:val="none"/>
        <w:vertAlign w:val="baseline"/>
      </w:rPr>
    </w:lvl>
    <w:lvl w:ilvl="8">
      <w:start w:val="1"/>
      <w:numFmt w:val="lowerRoman"/>
      <w:isLgl w:val="false"/>
      <w:suff w:val="tab"/>
      <w:lvlText w:val="%9."/>
      <w:lvlJc w:val="left"/>
      <w:pPr>
        <w:ind w:left="6120" w:firstLine="533"/>
        <w:tabs>
          <w:tab w:val="left" w:pos="360" w:leader="none"/>
          <w:tab w:val="left" w:pos="1080" w:leader="none"/>
          <w:tab w:val="num" w:pos="6829" w:leader="none"/>
        </w:tabs>
      </w:pPr>
      <w:rPr>
        <w:rFonts w:hAnsi="Arial Unicode MS"/>
        <w:caps w:val="0"/>
        <w:smallCaps w:val="0"/>
        <w:strike w:val="0"/>
        <w:color w:val="000000"/>
        <w:spacing w:val="0"/>
        <w:position w:val="0"/>
        <w:highlight w:val="none"/>
        <w:vertAlign w:val="baseline"/>
      </w:rPr>
    </w:lvl>
  </w:abstractNum>
  <w:abstractNum w:abstractNumId="18">
    <w:multiLevelType w:val="hybridMultilevel"/>
    <w:styleLink w:val="1367"/>
    <w:lvl w:ilvl="0">
      <w:start w:val="1"/>
      <w:numFmt w:val="bullet"/>
      <w:pStyle w:val="1367"/>
      <w:isLgl w:val="false"/>
      <w:suff w:val="tab"/>
      <w:lvlText w:val="-"/>
      <w:lvlJc w:val="left"/>
      <w:pPr>
        <w:ind w:left="371" w:firstLine="338"/>
        <w:tabs>
          <w:tab w:val="left" w:pos="284" w:leader="none"/>
          <w:tab w:val="num" w:pos="1080" w:leader="none"/>
        </w:tabs>
      </w:pPr>
      <w:rPr>
        <w:rFonts w:ascii="Tahoma" w:hAnsi="Tahoma" w:eastAsia="Tahoma" w:cs="Tahoma"/>
        <w:b w:val="0"/>
        <w:bCs w:val="0"/>
        <w:i w:val="0"/>
        <w:iCs w:val="0"/>
        <w:caps w:val="0"/>
        <w:smallCaps w:val="0"/>
        <w:strike w:val="0"/>
        <w:color w:val="000000"/>
        <w:spacing w:val="0"/>
        <w:position w:val="0"/>
        <w:highlight w:val="none"/>
        <w:vertAlign w:val="baseline"/>
      </w:rPr>
    </w:lvl>
    <w:lvl w:ilvl="1">
      <w:start w:val="1"/>
      <w:numFmt w:val="bullet"/>
      <w:isLgl w:val="false"/>
      <w:suff w:val="tab"/>
      <w:lvlText w:val="o"/>
      <w:lvlJc w:val="left"/>
      <w:pPr>
        <w:ind w:left="720" w:firstLine="338"/>
        <w:tabs>
          <w:tab w:val="left" w:pos="284" w:leader="none"/>
          <w:tab w:val="left" w:pos="1080" w:leader="none"/>
          <w:tab w:val="num" w:pos="1429" w:leader="none"/>
        </w:tabs>
      </w:pPr>
      <w:rPr>
        <w:rFonts w:ascii="Tahoma" w:hAnsi="Tahoma" w:eastAsia="Tahoma" w:cs="Tahoma"/>
        <w:b w:val="0"/>
        <w:bCs w:val="0"/>
        <w:i w:val="0"/>
        <w:iCs w:val="0"/>
        <w:caps w:val="0"/>
        <w:smallCaps w:val="0"/>
        <w:strike w:val="0"/>
        <w:color w:val="000000"/>
        <w:spacing w:val="0"/>
        <w:position w:val="0"/>
        <w:highlight w:val="none"/>
        <w:vertAlign w:val="baseline"/>
      </w:rPr>
    </w:lvl>
    <w:lvl w:ilvl="2">
      <w:start w:val="1"/>
      <w:numFmt w:val="bullet"/>
      <w:isLgl w:val="false"/>
      <w:suff w:val="tab"/>
      <w:lvlText w:val="▪"/>
      <w:lvlJc w:val="left"/>
      <w:pPr>
        <w:ind w:left="1440" w:firstLine="338"/>
        <w:tabs>
          <w:tab w:val="left" w:pos="284" w:leader="none"/>
          <w:tab w:val="left" w:pos="1080" w:leader="none"/>
          <w:tab w:val="num" w:pos="2149" w:leader="none"/>
        </w:tabs>
      </w:pPr>
      <w:rPr>
        <w:rFonts w:ascii="Tahoma" w:hAnsi="Tahoma" w:eastAsia="Tahoma" w:cs="Tahoma"/>
        <w:b w:val="0"/>
        <w:bCs w:val="0"/>
        <w:i w:val="0"/>
        <w:iCs w:val="0"/>
        <w:caps w:val="0"/>
        <w:smallCaps w:val="0"/>
        <w:strike w:val="0"/>
        <w:color w:val="000000"/>
        <w:spacing w:val="0"/>
        <w:position w:val="0"/>
        <w:highlight w:val="none"/>
        <w:vertAlign w:val="baseline"/>
      </w:rPr>
    </w:lvl>
    <w:lvl w:ilvl="3">
      <w:start w:val="1"/>
      <w:numFmt w:val="bullet"/>
      <w:isLgl w:val="false"/>
      <w:suff w:val="tab"/>
      <w:lvlText w:val="•"/>
      <w:lvlJc w:val="left"/>
      <w:pPr>
        <w:ind w:left="2160" w:firstLine="338"/>
        <w:tabs>
          <w:tab w:val="left" w:pos="284" w:leader="none"/>
          <w:tab w:val="left" w:pos="1080" w:leader="none"/>
          <w:tab w:val="num" w:pos="2869" w:leader="none"/>
        </w:tabs>
      </w:pPr>
      <w:rPr>
        <w:rFonts w:ascii="Tahoma" w:hAnsi="Tahoma" w:eastAsia="Tahoma" w:cs="Tahoma"/>
        <w:b w:val="0"/>
        <w:bCs w:val="0"/>
        <w:i w:val="0"/>
        <w:iCs w:val="0"/>
        <w:caps w:val="0"/>
        <w:smallCaps w:val="0"/>
        <w:strike w:val="0"/>
        <w:color w:val="000000"/>
        <w:spacing w:val="0"/>
        <w:position w:val="0"/>
        <w:highlight w:val="none"/>
        <w:vertAlign w:val="baseline"/>
      </w:rPr>
    </w:lvl>
    <w:lvl w:ilvl="4">
      <w:start w:val="1"/>
      <w:numFmt w:val="bullet"/>
      <w:isLgl w:val="false"/>
      <w:suff w:val="tab"/>
      <w:lvlText w:val="o"/>
      <w:lvlJc w:val="left"/>
      <w:pPr>
        <w:ind w:left="2880" w:firstLine="338"/>
        <w:tabs>
          <w:tab w:val="left" w:pos="284" w:leader="none"/>
          <w:tab w:val="left" w:pos="1080" w:leader="none"/>
          <w:tab w:val="num" w:pos="3589" w:leader="none"/>
        </w:tabs>
      </w:pPr>
      <w:rPr>
        <w:rFonts w:ascii="Tahoma" w:hAnsi="Tahoma" w:eastAsia="Tahoma" w:cs="Tahoma"/>
        <w:b w:val="0"/>
        <w:bCs w:val="0"/>
        <w:i w:val="0"/>
        <w:iCs w:val="0"/>
        <w:caps w:val="0"/>
        <w:smallCaps w:val="0"/>
        <w:strike w:val="0"/>
        <w:color w:val="000000"/>
        <w:spacing w:val="0"/>
        <w:position w:val="0"/>
        <w:highlight w:val="none"/>
        <w:vertAlign w:val="baseline"/>
      </w:rPr>
    </w:lvl>
    <w:lvl w:ilvl="5">
      <w:start w:val="1"/>
      <w:numFmt w:val="bullet"/>
      <w:isLgl w:val="false"/>
      <w:suff w:val="tab"/>
      <w:lvlText w:val="▪"/>
      <w:lvlJc w:val="left"/>
      <w:pPr>
        <w:ind w:left="3600" w:firstLine="338"/>
        <w:tabs>
          <w:tab w:val="left" w:pos="284" w:leader="none"/>
          <w:tab w:val="left" w:pos="1080" w:leader="none"/>
          <w:tab w:val="num" w:pos="4309" w:leader="none"/>
        </w:tabs>
      </w:pPr>
      <w:rPr>
        <w:rFonts w:ascii="Tahoma" w:hAnsi="Tahoma" w:eastAsia="Tahoma" w:cs="Tahoma"/>
        <w:b w:val="0"/>
        <w:bCs w:val="0"/>
        <w:i w:val="0"/>
        <w:iCs w:val="0"/>
        <w:caps w:val="0"/>
        <w:smallCaps w:val="0"/>
        <w:strike w:val="0"/>
        <w:color w:val="000000"/>
        <w:spacing w:val="0"/>
        <w:position w:val="0"/>
        <w:highlight w:val="none"/>
        <w:vertAlign w:val="baseline"/>
      </w:rPr>
    </w:lvl>
    <w:lvl w:ilvl="6">
      <w:start w:val="1"/>
      <w:numFmt w:val="bullet"/>
      <w:isLgl w:val="false"/>
      <w:suff w:val="tab"/>
      <w:lvlText w:val="•"/>
      <w:lvlJc w:val="left"/>
      <w:pPr>
        <w:ind w:left="4320" w:firstLine="338"/>
        <w:tabs>
          <w:tab w:val="left" w:pos="284" w:leader="none"/>
          <w:tab w:val="left" w:pos="1080" w:leader="none"/>
          <w:tab w:val="num" w:pos="5029" w:leader="none"/>
        </w:tabs>
      </w:pPr>
      <w:rPr>
        <w:rFonts w:ascii="Tahoma" w:hAnsi="Tahoma" w:eastAsia="Tahoma" w:cs="Tahoma"/>
        <w:b w:val="0"/>
        <w:bCs w:val="0"/>
        <w:i w:val="0"/>
        <w:iCs w:val="0"/>
        <w:caps w:val="0"/>
        <w:smallCaps w:val="0"/>
        <w:strike w:val="0"/>
        <w:color w:val="000000"/>
        <w:spacing w:val="0"/>
        <w:position w:val="0"/>
        <w:highlight w:val="none"/>
        <w:vertAlign w:val="baseline"/>
      </w:rPr>
    </w:lvl>
    <w:lvl w:ilvl="7">
      <w:start w:val="1"/>
      <w:numFmt w:val="bullet"/>
      <w:isLgl w:val="false"/>
      <w:suff w:val="tab"/>
      <w:lvlText w:val="o"/>
      <w:lvlJc w:val="left"/>
      <w:pPr>
        <w:ind w:left="5040" w:firstLine="338"/>
        <w:tabs>
          <w:tab w:val="left" w:pos="284" w:leader="none"/>
          <w:tab w:val="left" w:pos="1080" w:leader="none"/>
          <w:tab w:val="num" w:pos="5749" w:leader="none"/>
        </w:tabs>
      </w:pPr>
      <w:rPr>
        <w:rFonts w:ascii="Tahoma" w:hAnsi="Tahoma" w:eastAsia="Tahoma" w:cs="Tahoma"/>
        <w:b w:val="0"/>
        <w:bCs w:val="0"/>
        <w:i w:val="0"/>
        <w:iCs w:val="0"/>
        <w:caps w:val="0"/>
        <w:smallCaps w:val="0"/>
        <w:strike w:val="0"/>
        <w:color w:val="000000"/>
        <w:spacing w:val="0"/>
        <w:position w:val="0"/>
        <w:highlight w:val="none"/>
        <w:vertAlign w:val="baseline"/>
      </w:rPr>
    </w:lvl>
    <w:lvl w:ilvl="8">
      <w:start w:val="1"/>
      <w:numFmt w:val="bullet"/>
      <w:isLgl w:val="false"/>
      <w:suff w:val="tab"/>
      <w:lvlText w:val="▪"/>
      <w:lvlJc w:val="left"/>
      <w:pPr>
        <w:ind w:left="5760" w:firstLine="338"/>
        <w:tabs>
          <w:tab w:val="left" w:pos="284" w:leader="none"/>
          <w:tab w:val="left" w:pos="1080" w:leader="none"/>
          <w:tab w:val="num" w:pos="6469" w:leader="none"/>
        </w:tabs>
      </w:pPr>
      <w:rPr>
        <w:rFonts w:ascii="Tahoma" w:hAnsi="Tahoma" w:eastAsia="Tahoma" w:cs="Tahoma"/>
        <w:b w:val="0"/>
        <w:bCs w:val="0"/>
        <w:i w:val="0"/>
        <w:iCs w:val="0"/>
        <w:caps w:val="0"/>
        <w:smallCaps w:val="0"/>
        <w:strike w:val="0"/>
        <w:color w:val="000000"/>
        <w:spacing w:val="0"/>
        <w:position w:val="0"/>
        <w:highlight w:val="none"/>
        <w:vertAlign w:val="baseline"/>
      </w:rPr>
    </w:lvl>
  </w:abstractNum>
  <w:abstractNum w:abstractNumId="19">
    <w:multiLevelType w:val="hybridMultilevel"/>
    <w:styleLink w:val="1380"/>
    <w:lvl w:ilvl="0">
      <w:start w:val="1"/>
      <w:numFmt w:val="bullet"/>
      <w:pStyle w:val="1380"/>
      <w:isLgl w:val="false"/>
      <w:suff w:val="tab"/>
      <w:lvlText w:val="•"/>
      <w:lvlJc w:val="left"/>
      <w:pPr>
        <w:ind w:left="371" w:firstLine="338"/>
        <w:tabs>
          <w:tab w:val="num" w:pos="1080" w:leader="none"/>
        </w:tabs>
      </w:pPr>
      <w:rPr>
        <w:rFonts w:ascii="Symbol" w:hAnsi="Symbol" w:eastAsia="Symbol" w:cs="Symbol"/>
        <w:b w:val="0"/>
        <w:bCs w:val="0"/>
        <w:i w:val="0"/>
        <w:iCs w:val="0"/>
        <w:caps w:val="0"/>
        <w:smallCaps w:val="0"/>
        <w:strike w:val="0"/>
        <w:color w:val="000000"/>
        <w:spacing w:val="0"/>
        <w:position w:val="0"/>
        <w:highlight w:val="none"/>
        <w:vertAlign w:val="baseline"/>
      </w:rPr>
    </w:lvl>
    <w:lvl w:ilvl="1">
      <w:start w:val="1"/>
      <w:numFmt w:val="bullet"/>
      <w:isLgl w:val="false"/>
      <w:suff w:val="tab"/>
      <w:lvlText w:val="o"/>
      <w:lvlJc w:val="left"/>
      <w:pPr>
        <w:ind w:left="720" w:firstLine="14"/>
        <w:tabs>
          <w:tab w:val="num" w:pos="1429" w:leader="none"/>
        </w:tabs>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lvl w:ilvl="2">
      <w:start w:val="1"/>
      <w:numFmt w:val="bullet"/>
      <w:isLgl w:val="false"/>
      <w:suff w:val="tab"/>
      <w:lvlText w:val="▪"/>
      <w:lvlJc w:val="left"/>
      <w:pPr>
        <w:ind w:left="1440" w:firstLine="26"/>
        <w:tabs>
          <w:tab w:val="left" w:pos="1080" w:leader="none"/>
          <w:tab w:val="num" w:pos="2149" w:leader="none"/>
        </w:tabs>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lvl w:ilvl="3">
      <w:start w:val="1"/>
      <w:numFmt w:val="bullet"/>
      <w:isLgl w:val="false"/>
      <w:suff w:val="tab"/>
      <w:lvlText w:val="•"/>
      <w:lvlJc w:val="left"/>
      <w:pPr>
        <w:ind w:left="2160" w:firstLine="38"/>
        <w:tabs>
          <w:tab w:val="left" w:pos="1080" w:leader="none"/>
          <w:tab w:val="num" w:pos="2869" w:leader="none"/>
        </w:tabs>
      </w:pPr>
      <w:rPr>
        <w:rFonts w:ascii="Symbol" w:hAnsi="Symbol" w:eastAsia="Symbol" w:cs="Symbol"/>
        <w:b w:val="0"/>
        <w:bCs w:val="0"/>
        <w:i w:val="0"/>
        <w:iCs w:val="0"/>
        <w:caps w:val="0"/>
        <w:smallCaps w:val="0"/>
        <w:strike w:val="0"/>
        <w:color w:val="000000"/>
        <w:spacing w:val="0"/>
        <w:position w:val="0"/>
        <w:highlight w:val="none"/>
        <w:vertAlign w:val="baseline"/>
      </w:rPr>
    </w:lvl>
    <w:lvl w:ilvl="4">
      <w:start w:val="1"/>
      <w:numFmt w:val="bullet"/>
      <w:isLgl w:val="false"/>
      <w:suff w:val="tab"/>
      <w:lvlText w:val="o"/>
      <w:lvlJc w:val="left"/>
      <w:pPr>
        <w:ind w:left="2880" w:firstLine="50"/>
        <w:tabs>
          <w:tab w:val="left" w:pos="1080" w:leader="none"/>
          <w:tab w:val="num" w:pos="3589" w:leader="none"/>
        </w:tabs>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lvl w:ilvl="5">
      <w:start w:val="1"/>
      <w:numFmt w:val="bullet"/>
      <w:isLgl w:val="false"/>
      <w:suff w:val="tab"/>
      <w:lvlText w:val="▪"/>
      <w:lvlJc w:val="left"/>
      <w:pPr>
        <w:ind w:left="3600" w:firstLine="62"/>
        <w:tabs>
          <w:tab w:val="left" w:pos="1080" w:leader="none"/>
          <w:tab w:val="num" w:pos="4309" w:leader="none"/>
        </w:tabs>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lvl w:ilvl="6">
      <w:start w:val="1"/>
      <w:numFmt w:val="bullet"/>
      <w:isLgl w:val="false"/>
      <w:suff w:val="tab"/>
      <w:lvlText w:val="•"/>
      <w:lvlJc w:val="left"/>
      <w:pPr>
        <w:ind w:left="4320" w:firstLine="74"/>
        <w:tabs>
          <w:tab w:val="left" w:pos="1080" w:leader="none"/>
          <w:tab w:val="num" w:pos="5029" w:leader="none"/>
        </w:tabs>
      </w:pPr>
      <w:rPr>
        <w:rFonts w:ascii="Symbol" w:hAnsi="Symbol" w:eastAsia="Symbol" w:cs="Symbol"/>
        <w:b w:val="0"/>
        <w:bCs w:val="0"/>
        <w:i w:val="0"/>
        <w:iCs w:val="0"/>
        <w:caps w:val="0"/>
        <w:smallCaps w:val="0"/>
        <w:strike w:val="0"/>
        <w:color w:val="000000"/>
        <w:spacing w:val="0"/>
        <w:position w:val="0"/>
        <w:highlight w:val="none"/>
        <w:vertAlign w:val="baseline"/>
      </w:rPr>
    </w:lvl>
    <w:lvl w:ilvl="7">
      <w:start w:val="1"/>
      <w:numFmt w:val="bullet"/>
      <w:isLgl w:val="false"/>
      <w:suff w:val="tab"/>
      <w:lvlText w:val="o"/>
      <w:lvlJc w:val="left"/>
      <w:pPr>
        <w:ind w:left="5040" w:firstLine="86"/>
        <w:tabs>
          <w:tab w:val="left" w:pos="1080" w:leader="none"/>
          <w:tab w:val="num" w:pos="5749" w:leader="none"/>
        </w:tabs>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lvl w:ilvl="8">
      <w:start w:val="1"/>
      <w:numFmt w:val="bullet"/>
      <w:isLgl w:val="false"/>
      <w:suff w:val="tab"/>
      <w:lvlText w:val="▪"/>
      <w:lvlJc w:val="left"/>
      <w:pPr>
        <w:ind w:left="5760" w:firstLine="98"/>
        <w:tabs>
          <w:tab w:val="left" w:pos="1080" w:leader="none"/>
          <w:tab w:val="num" w:pos="6469" w:leader="none"/>
        </w:tabs>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abstractNum>
  <w:abstractNum w:abstractNumId="20">
    <w:multiLevelType w:val="hybridMultilevel"/>
    <w:styleLink w:val="1398"/>
    <w:lvl w:ilvl="0">
      <w:start w:val="1"/>
      <w:numFmt w:val="bullet"/>
      <w:pStyle w:val="1398"/>
      <w:isLgl w:val="false"/>
      <w:suff w:val="tab"/>
      <w:lvlText w:val="-"/>
      <w:lvlJc w:val="left"/>
      <w:pPr>
        <w:ind w:left="284" w:firstLine="425"/>
        <w:tabs>
          <w:tab w:val="left" w:pos="502" w:leader="none"/>
          <w:tab w:val="left" w:pos="720" w:leader="none"/>
          <w:tab w:val="num" w:pos="993" w:leader="none"/>
          <w:tab w:val="left" w:pos="1440" w:leader="none"/>
        </w:tabs>
      </w:pPr>
      <w:rPr>
        <w:rFonts w:ascii="Times New Roman" w:hAnsi="Times New Roman" w:eastAsia="Times New Roman" w:cs="Times New Roman"/>
        <w:b w:val="0"/>
        <w:bCs w:val="0"/>
        <w:i w:val="0"/>
        <w:iCs w:val="0"/>
        <w:caps w:val="0"/>
        <w:smallCaps w:val="0"/>
        <w:strike w:val="0"/>
        <w:color w:val="000000"/>
        <w:spacing w:val="0"/>
        <w:position w:val="0"/>
        <w:highlight w:val="none"/>
        <w:vertAlign w:val="baseline"/>
      </w:rPr>
    </w:lvl>
    <w:lvl w:ilvl="1">
      <w:start w:val="1"/>
      <w:numFmt w:val="bullet"/>
      <w:isLgl w:val="false"/>
      <w:suff w:val="tab"/>
      <w:lvlText w:val="o"/>
      <w:lvlJc w:val="left"/>
      <w:pPr>
        <w:ind w:left="731" w:hanging="22"/>
        <w:tabs>
          <w:tab w:val="left" w:pos="502" w:leader="none"/>
          <w:tab w:val="left" w:pos="720" w:leader="none"/>
          <w:tab w:val="num" w:pos="1440" w:leader="none"/>
        </w:tabs>
      </w:pPr>
      <w:rPr>
        <w:rFonts w:ascii="Times New Roman" w:hAnsi="Times New Roman" w:eastAsia="Times New Roman" w:cs="Times New Roman"/>
        <w:b w:val="0"/>
        <w:bCs w:val="0"/>
        <w:i w:val="0"/>
        <w:iCs w:val="0"/>
        <w:caps w:val="0"/>
        <w:smallCaps w:val="0"/>
        <w:strike w:val="0"/>
        <w:color w:val="000000"/>
        <w:spacing w:val="0"/>
        <w:position w:val="0"/>
        <w:highlight w:val="none"/>
        <w:vertAlign w:val="baseline"/>
      </w:rPr>
    </w:lvl>
    <w:lvl w:ilvl="2">
      <w:start w:val="1"/>
      <w:numFmt w:val="bullet"/>
      <w:isLgl w:val="false"/>
      <w:suff w:val="tab"/>
      <w:lvlText w:val="▪"/>
      <w:lvlJc w:val="left"/>
      <w:pPr>
        <w:ind w:left="1440" w:hanging="22"/>
        <w:tabs>
          <w:tab w:val="left" w:pos="502" w:leader="none"/>
          <w:tab w:val="left" w:pos="720" w:leader="none"/>
          <w:tab w:val="left" w:pos="993" w:leader="none"/>
          <w:tab w:val="left" w:pos="1440" w:leader="none"/>
          <w:tab w:val="num" w:pos="2149" w:leader="none"/>
        </w:tabs>
      </w:pPr>
      <w:rPr>
        <w:rFonts w:ascii="Times New Roman" w:hAnsi="Times New Roman" w:eastAsia="Times New Roman" w:cs="Times New Roman"/>
        <w:b w:val="0"/>
        <w:bCs w:val="0"/>
        <w:i w:val="0"/>
        <w:iCs w:val="0"/>
        <w:caps w:val="0"/>
        <w:smallCaps w:val="0"/>
        <w:strike w:val="0"/>
        <w:color w:val="000000"/>
        <w:spacing w:val="0"/>
        <w:position w:val="0"/>
        <w:highlight w:val="none"/>
        <w:vertAlign w:val="baseline"/>
      </w:rPr>
    </w:lvl>
    <w:lvl w:ilvl="3">
      <w:start w:val="1"/>
      <w:numFmt w:val="bullet"/>
      <w:isLgl w:val="false"/>
      <w:suff w:val="tab"/>
      <w:lvlText w:val="•"/>
      <w:lvlJc w:val="left"/>
      <w:pPr>
        <w:ind w:left="2160" w:hanging="22"/>
        <w:tabs>
          <w:tab w:val="left" w:pos="502" w:leader="none"/>
          <w:tab w:val="left" w:pos="720" w:leader="none"/>
          <w:tab w:val="left" w:pos="993" w:leader="none"/>
          <w:tab w:val="left" w:pos="1440" w:leader="none"/>
          <w:tab w:val="num" w:pos="2869" w:leader="none"/>
        </w:tabs>
      </w:pPr>
      <w:rPr>
        <w:rFonts w:ascii="Times New Roman" w:hAnsi="Times New Roman" w:eastAsia="Times New Roman" w:cs="Times New Roman"/>
        <w:b w:val="0"/>
        <w:bCs w:val="0"/>
        <w:i w:val="0"/>
        <w:iCs w:val="0"/>
        <w:caps w:val="0"/>
        <w:smallCaps w:val="0"/>
        <w:strike w:val="0"/>
        <w:color w:val="000000"/>
        <w:spacing w:val="0"/>
        <w:position w:val="0"/>
        <w:highlight w:val="none"/>
        <w:vertAlign w:val="baseline"/>
      </w:rPr>
    </w:lvl>
    <w:lvl w:ilvl="4">
      <w:start w:val="1"/>
      <w:numFmt w:val="bullet"/>
      <w:isLgl w:val="false"/>
      <w:suff w:val="tab"/>
      <w:lvlText w:val="o"/>
      <w:lvlJc w:val="left"/>
      <w:pPr>
        <w:ind w:left="2880" w:hanging="22"/>
        <w:tabs>
          <w:tab w:val="left" w:pos="502" w:leader="none"/>
          <w:tab w:val="left" w:pos="720" w:leader="none"/>
          <w:tab w:val="left" w:pos="993" w:leader="none"/>
          <w:tab w:val="left" w:pos="1440" w:leader="none"/>
          <w:tab w:val="num" w:pos="3589" w:leader="none"/>
        </w:tabs>
      </w:pPr>
      <w:rPr>
        <w:rFonts w:ascii="Times New Roman" w:hAnsi="Times New Roman" w:eastAsia="Times New Roman" w:cs="Times New Roman"/>
        <w:b w:val="0"/>
        <w:bCs w:val="0"/>
        <w:i w:val="0"/>
        <w:iCs w:val="0"/>
        <w:caps w:val="0"/>
        <w:smallCaps w:val="0"/>
        <w:strike w:val="0"/>
        <w:color w:val="000000"/>
        <w:spacing w:val="0"/>
        <w:position w:val="0"/>
        <w:highlight w:val="none"/>
        <w:vertAlign w:val="baseline"/>
      </w:rPr>
    </w:lvl>
    <w:lvl w:ilvl="5">
      <w:start w:val="1"/>
      <w:numFmt w:val="bullet"/>
      <w:isLgl w:val="false"/>
      <w:suff w:val="tab"/>
      <w:lvlText w:val="▪"/>
      <w:lvlJc w:val="left"/>
      <w:pPr>
        <w:ind w:left="3600" w:hanging="22"/>
        <w:tabs>
          <w:tab w:val="left" w:pos="502" w:leader="none"/>
          <w:tab w:val="left" w:pos="720" w:leader="none"/>
          <w:tab w:val="left" w:pos="993" w:leader="none"/>
          <w:tab w:val="left" w:pos="1440" w:leader="none"/>
          <w:tab w:val="num" w:pos="4309" w:leader="none"/>
        </w:tabs>
      </w:pPr>
      <w:rPr>
        <w:rFonts w:ascii="Times New Roman" w:hAnsi="Times New Roman" w:eastAsia="Times New Roman" w:cs="Times New Roman"/>
        <w:b w:val="0"/>
        <w:bCs w:val="0"/>
        <w:i w:val="0"/>
        <w:iCs w:val="0"/>
        <w:caps w:val="0"/>
        <w:smallCaps w:val="0"/>
        <w:strike w:val="0"/>
        <w:color w:val="000000"/>
        <w:spacing w:val="0"/>
        <w:position w:val="0"/>
        <w:highlight w:val="none"/>
        <w:vertAlign w:val="baseline"/>
      </w:rPr>
    </w:lvl>
    <w:lvl w:ilvl="6">
      <w:start w:val="1"/>
      <w:numFmt w:val="bullet"/>
      <w:isLgl w:val="false"/>
      <w:suff w:val="tab"/>
      <w:lvlText w:val="•"/>
      <w:lvlJc w:val="left"/>
      <w:pPr>
        <w:ind w:left="4320" w:hanging="22"/>
        <w:tabs>
          <w:tab w:val="left" w:pos="502" w:leader="none"/>
          <w:tab w:val="left" w:pos="720" w:leader="none"/>
          <w:tab w:val="left" w:pos="993" w:leader="none"/>
          <w:tab w:val="left" w:pos="1440" w:leader="none"/>
          <w:tab w:val="num" w:pos="5029" w:leader="none"/>
        </w:tabs>
      </w:pPr>
      <w:rPr>
        <w:rFonts w:ascii="Times New Roman" w:hAnsi="Times New Roman" w:eastAsia="Times New Roman" w:cs="Times New Roman"/>
        <w:b w:val="0"/>
        <w:bCs w:val="0"/>
        <w:i w:val="0"/>
        <w:iCs w:val="0"/>
        <w:caps w:val="0"/>
        <w:smallCaps w:val="0"/>
        <w:strike w:val="0"/>
        <w:color w:val="000000"/>
        <w:spacing w:val="0"/>
        <w:position w:val="0"/>
        <w:highlight w:val="none"/>
        <w:vertAlign w:val="baseline"/>
      </w:rPr>
    </w:lvl>
    <w:lvl w:ilvl="7">
      <w:start w:val="1"/>
      <w:numFmt w:val="bullet"/>
      <w:isLgl w:val="false"/>
      <w:suff w:val="tab"/>
      <w:lvlText w:val="o"/>
      <w:lvlJc w:val="left"/>
      <w:pPr>
        <w:ind w:left="5040" w:hanging="22"/>
        <w:tabs>
          <w:tab w:val="left" w:pos="502" w:leader="none"/>
          <w:tab w:val="left" w:pos="720" w:leader="none"/>
          <w:tab w:val="left" w:pos="993" w:leader="none"/>
          <w:tab w:val="left" w:pos="1440" w:leader="none"/>
          <w:tab w:val="num" w:pos="5749" w:leader="none"/>
        </w:tabs>
      </w:pPr>
      <w:rPr>
        <w:rFonts w:ascii="Times New Roman" w:hAnsi="Times New Roman" w:eastAsia="Times New Roman" w:cs="Times New Roman"/>
        <w:b w:val="0"/>
        <w:bCs w:val="0"/>
        <w:i w:val="0"/>
        <w:iCs w:val="0"/>
        <w:caps w:val="0"/>
        <w:smallCaps w:val="0"/>
        <w:strike w:val="0"/>
        <w:color w:val="000000"/>
        <w:spacing w:val="0"/>
        <w:position w:val="0"/>
        <w:highlight w:val="none"/>
        <w:vertAlign w:val="baseline"/>
      </w:rPr>
    </w:lvl>
    <w:lvl w:ilvl="8">
      <w:start w:val="1"/>
      <w:numFmt w:val="bullet"/>
      <w:isLgl w:val="false"/>
      <w:suff w:val="tab"/>
      <w:lvlText w:val="▪"/>
      <w:lvlJc w:val="left"/>
      <w:pPr>
        <w:ind w:left="5760" w:hanging="22"/>
        <w:tabs>
          <w:tab w:val="left" w:pos="502" w:leader="none"/>
          <w:tab w:val="left" w:pos="720" w:leader="none"/>
          <w:tab w:val="left" w:pos="993" w:leader="none"/>
          <w:tab w:val="left" w:pos="1440" w:leader="none"/>
          <w:tab w:val="num" w:pos="6469" w:leader="none"/>
        </w:tabs>
      </w:pPr>
      <w:rPr>
        <w:rFonts w:ascii="Times New Roman" w:hAnsi="Times New Roman" w:eastAsia="Times New Roman" w:cs="Times New Roman"/>
        <w:b w:val="0"/>
        <w:bCs w:val="0"/>
        <w:i w:val="0"/>
        <w:iCs w:val="0"/>
        <w:caps w:val="0"/>
        <w:smallCaps w:val="0"/>
        <w:strike w:val="0"/>
        <w:color w:val="000000"/>
        <w:spacing w:val="0"/>
        <w:position w:val="0"/>
        <w:highlight w:val="none"/>
        <w:vertAlign w:val="baseline"/>
      </w:rPr>
    </w:lvl>
  </w:abstractNum>
  <w:abstractNum w:abstractNumId="21">
    <w:multiLevelType w:val="hybridMultilevel"/>
    <w:styleLink w:val="1365"/>
    <w:lvl w:ilvl="0">
      <w:start w:val="1"/>
      <w:numFmt w:val="bullet"/>
      <w:pStyle w:val="1365"/>
      <w:isLgl w:val="false"/>
      <w:suff w:val="tab"/>
      <w:lvlText w:val="-"/>
      <w:lvlJc w:val="left"/>
      <w:pPr>
        <w:ind w:left="371" w:firstLine="338"/>
        <w:tabs>
          <w:tab w:val="num" w:pos="1080" w:leader="none"/>
        </w:tabs>
      </w:pPr>
      <w:rPr>
        <w:rFonts w:ascii="Tahoma" w:hAnsi="Tahoma" w:eastAsia="Tahoma" w:cs="Tahoma"/>
        <w:b w:val="0"/>
        <w:bCs w:val="0"/>
        <w:i w:val="0"/>
        <w:iCs w:val="0"/>
        <w:caps w:val="0"/>
        <w:smallCaps w:val="0"/>
        <w:strike w:val="0"/>
        <w:color w:val="000000"/>
        <w:spacing w:val="0"/>
        <w:position w:val="0"/>
        <w:highlight w:val="none"/>
        <w:vertAlign w:val="baseline"/>
      </w:rPr>
    </w:lvl>
    <w:lvl w:ilvl="1">
      <w:start w:val="1"/>
      <w:numFmt w:val="bullet"/>
      <w:isLgl w:val="false"/>
      <w:suff w:val="tab"/>
      <w:lvlText w:val="o"/>
      <w:lvlJc w:val="left"/>
      <w:pPr>
        <w:ind w:left="720" w:firstLine="338"/>
        <w:tabs>
          <w:tab w:val="left" w:pos="1080" w:leader="none"/>
          <w:tab w:val="num" w:pos="1429" w:leader="none"/>
        </w:tabs>
      </w:pPr>
      <w:rPr>
        <w:rFonts w:ascii="Tahoma" w:hAnsi="Tahoma" w:eastAsia="Tahoma" w:cs="Tahoma"/>
        <w:b w:val="0"/>
        <w:bCs w:val="0"/>
        <w:i w:val="0"/>
        <w:iCs w:val="0"/>
        <w:caps w:val="0"/>
        <w:smallCaps w:val="0"/>
        <w:strike w:val="0"/>
        <w:color w:val="000000"/>
        <w:spacing w:val="0"/>
        <w:position w:val="0"/>
        <w:highlight w:val="none"/>
        <w:vertAlign w:val="baseline"/>
      </w:rPr>
    </w:lvl>
    <w:lvl w:ilvl="2">
      <w:start w:val="1"/>
      <w:numFmt w:val="bullet"/>
      <w:isLgl w:val="false"/>
      <w:suff w:val="tab"/>
      <w:lvlText w:val="▪"/>
      <w:lvlJc w:val="left"/>
      <w:pPr>
        <w:ind w:left="1440" w:firstLine="338"/>
        <w:tabs>
          <w:tab w:val="left" w:pos="1080" w:leader="none"/>
          <w:tab w:val="num" w:pos="2149" w:leader="none"/>
        </w:tabs>
      </w:pPr>
      <w:rPr>
        <w:rFonts w:ascii="Tahoma" w:hAnsi="Tahoma" w:eastAsia="Tahoma" w:cs="Tahoma"/>
        <w:b w:val="0"/>
        <w:bCs w:val="0"/>
        <w:i w:val="0"/>
        <w:iCs w:val="0"/>
        <w:caps w:val="0"/>
        <w:smallCaps w:val="0"/>
        <w:strike w:val="0"/>
        <w:color w:val="000000"/>
        <w:spacing w:val="0"/>
        <w:position w:val="0"/>
        <w:highlight w:val="none"/>
        <w:vertAlign w:val="baseline"/>
      </w:rPr>
    </w:lvl>
    <w:lvl w:ilvl="3">
      <w:start w:val="1"/>
      <w:numFmt w:val="bullet"/>
      <w:isLgl w:val="false"/>
      <w:suff w:val="tab"/>
      <w:lvlText w:val="•"/>
      <w:lvlJc w:val="left"/>
      <w:pPr>
        <w:ind w:left="2160" w:firstLine="338"/>
        <w:tabs>
          <w:tab w:val="left" w:pos="1080" w:leader="none"/>
          <w:tab w:val="num" w:pos="2869" w:leader="none"/>
        </w:tabs>
      </w:pPr>
      <w:rPr>
        <w:rFonts w:ascii="Tahoma" w:hAnsi="Tahoma" w:eastAsia="Tahoma" w:cs="Tahoma"/>
        <w:b w:val="0"/>
        <w:bCs w:val="0"/>
        <w:i w:val="0"/>
        <w:iCs w:val="0"/>
        <w:caps w:val="0"/>
        <w:smallCaps w:val="0"/>
        <w:strike w:val="0"/>
        <w:color w:val="000000"/>
        <w:spacing w:val="0"/>
        <w:position w:val="0"/>
        <w:highlight w:val="none"/>
        <w:vertAlign w:val="baseline"/>
      </w:rPr>
    </w:lvl>
    <w:lvl w:ilvl="4">
      <w:start w:val="1"/>
      <w:numFmt w:val="bullet"/>
      <w:isLgl w:val="false"/>
      <w:suff w:val="tab"/>
      <w:lvlText w:val="o"/>
      <w:lvlJc w:val="left"/>
      <w:pPr>
        <w:ind w:left="2880" w:firstLine="338"/>
        <w:tabs>
          <w:tab w:val="left" w:pos="1080" w:leader="none"/>
          <w:tab w:val="num" w:pos="3589" w:leader="none"/>
        </w:tabs>
      </w:pPr>
      <w:rPr>
        <w:rFonts w:ascii="Tahoma" w:hAnsi="Tahoma" w:eastAsia="Tahoma" w:cs="Tahoma"/>
        <w:b w:val="0"/>
        <w:bCs w:val="0"/>
        <w:i w:val="0"/>
        <w:iCs w:val="0"/>
        <w:caps w:val="0"/>
        <w:smallCaps w:val="0"/>
        <w:strike w:val="0"/>
        <w:color w:val="000000"/>
        <w:spacing w:val="0"/>
        <w:position w:val="0"/>
        <w:highlight w:val="none"/>
        <w:vertAlign w:val="baseline"/>
      </w:rPr>
    </w:lvl>
    <w:lvl w:ilvl="5">
      <w:start w:val="1"/>
      <w:numFmt w:val="bullet"/>
      <w:isLgl w:val="false"/>
      <w:suff w:val="tab"/>
      <w:lvlText w:val="▪"/>
      <w:lvlJc w:val="left"/>
      <w:pPr>
        <w:ind w:left="3600" w:firstLine="338"/>
        <w:tabs>
          <w:tab w:val="left" w:pos="1080" w:leader="none"/>
          <w:tab w:val="num" w:pos="4309" w:leader="none"/>
        </w:tabs>
      </w:pPr>
      <w:rPr>
        <w:rFonts w:ascii="Tahoma" w:hAnsi="Tahoma" w:eastAsia="Tahoma" w:cs="Tahoma"/>
        <w:b w:val="0"/>
        <w:bCs w:val="0"/>
        <w:i w:val="0"/>
        <w:iCs w:val="0"/>
        <w:caps w:val="0"/>
        <w:smallCaps w:val="0"/>
        <w:strike w:val="0"/>
        <w:color w:val="000000"/>
        <w:spacing w:val="0"/>
        <w:position w:val="0"/>
        <w:highlight w:val="none"/>
        <w:vertAlign w:val="baseline"/>
      </w:rPr>
    </w:lvl>
    <w:lvl w:ilvl="6">
      <w:start w:val="1"/>
      <w:numFmt w:val="bullet"/>
      <w:isLgl w:val="false"/>
      <w:suff w:val="tab"/>
      <w:lvlText w:val="•"/>
      <w:lvlJc w:val="left"/>
      <w:pPr>
        <w:ind w:left="4320" w:firstLine="338"/>
        <w:tabs>
          <w:tab w:val="left" w:pos="1080" w:leader="none"/>
          <w:tab w:val="num" w:pos="5029" w:leader="none"/>
        </w:tabs>
      </w:pPr>
      <w:rPr>
        <w:rFonts w:ascii="Tahoma" w:hAnsi="Tahoma" w:eastAsia="Tahoma" w:cs="Tahoma"/>
        <w:b w:val="0"/>
        <w:bCs w:val="0"/>
        <w:i w:val="0"/>
        <w:iCs w:val="0"/>
        <w:caps w:val="0"/>
        <w:smallCaps w:val="0"/>
        <w:strike w:val="0"/>
        <w:color w:val="000000"/>
        <w:spacing w:val="0"/>
        <w:position w:val="0"/>
        <w:highlight w:val="none"/>
        <w:vertAlign w:val="baseline"/>
      </w:rPr>
    </w:lvl>
    <w:lvl w:ilvl="7">
      <w:start w:val="1"/>
      <w:numFmt w:val="bullet"/>
      <w:isLgl w:val="false"/>
      <w:suff w:val="tab"/>
      <w:lvlText w:val="o"/>
      <w:lvlJc w:val="left"/>
      <w:pPr>
        <w:ind w:left="5040" w:firstLine="338"/>
        <w:tabs>
          <w:tab w:val="left" w:pos="1080" w:leader="none"/>
          <w:tab w:val="num" w:pos="5749" w:leader="none"/>
        </w:tabs>
      </w:pPr>
      <w:rPr>
        <w:rFonts w:ascii="Tahoma" w:hAnsi="Tahoma" w:eastAsia="Tahoma" w:cs="Tahoma"/>
        <w:b w:val="0"/>
        <w:bCs w:val="0"/>
        <w:i w:val="0"/>
        <w:iCs w:val="0"/>
        <w:caps w:val="0"/>
        <w:smallCaps w:val="0"/>
        <w:strike w:val="0"/>
        <w:color w:val="000000"/>
        <w:spacing w:val="0"/>
        <w:position w:val="0"/>
        <w:highlight w:val="none"/>
        <w:vertAlign w:val="baseline"/>
      </w:rPr>
    </w:lvl>
    <w:lvl w:ilvl="8">
      <w:start w:val="1"/>
      <w:numFmt w:val="bullet"/>
      <w:isLgl w:val="false"/>
      <w:suff w:val="tab"/>
      <w:lvlText w:val="▪"/>
      <w:lvlJc w:val="left"/>
      <w:pPr>
        <w:ind w:left="5760" w:firstLine="338"/>
        <w:tabs>
          <w:tab w:val="left" w:pos="1080" w:leader="none"/>
          <w:tab w:val="num" w:pos="6469" w:leader="none"/>
        </w:tabs>
      </w:pPr>
      <w:rPr>
        <w:rFonts w:ascii="Tahoma" w:hAnsi="Tahoma" w:eastAsia="Tahoma" w:cs="Tahoma"/>
        <w:b w:val="0"/>
        <w:bCs w:val="0"/>
        <w:i w:val="0"/>
        <w:iCs w:val="0"/>
        <w:caps w:val="0"/>
        <w:smallCaps w:val="0"/>
        <w:strike w:val="0"/>
        <w:color w:val="000000"/>
        <w:spacing w:val="0"/>
        <w:position w:val="0"/>
        <w:highlight w:val="none"/>
        <w:vertAlign w:val="baseline"/>
      </w:rPr>
    </w:lvl>
  </w:abstractNum>
  <w:abstractNum w:abstractNumId="22">
    <w:multiLevelType w:val="hybridMultilevel"/>
    <w:styleLink w:val="1356"/>
    <w:lvl w:ilvl="0">
      <w:start w:val="1"/>
      <w:numFmt w:val="bullet"/>
      <w:pStyle w:val="1356"/>
      <w:isLgl w:val="false"/>
      <w:suff w:val="tab"/>
      <w:lvlText w:val="-"/>
      <w:lvlJc w:val="left"/>
      <w:pPr>
        <w:ind w:left="400" w:firstLine="300"/>
        <w:tabs>
          <w:tab w:val="left" w:pos="363" w:leader="none"/>
          <w:tab w:val="num" w:pos="1100" w:leader="none"/>
        </w:tabs>
      </w:pPr>
      <w:rPr>
        <w:rFonts w:ascii="Times New Roman" w:hAnsi="Times New Roman" w:eastAsia="Times New Roman" w:cs="Times New Roman"/>
        <w:b w:val="0"/>
        <w:bCs w:val="0"/>
        <w:i w:val="0"/>
        <w:iCs w:val="0"/>
        <w:caps w:val="0"/>
        <w:smallCaps w:val="0"/>
        <w:strike w:val="0"/>
        <w:color w:val="000000"/>
        <w:spacing w:val="0"/>
        <w:position w:val="0"/>
        <w:highlight w:val="none"/>
        <w:vertAlign w:val="baseline"/>
      </w:rPr>
    </w:lvl>
    <w:lvl w:ilvl="1">
      <w:start w:val="1"/>
      <w:numFmt w:val="bullet"/>
      <w:isLgl w:val="false"/>
      <w:suff w:val="tab"/>
      <w:lvlText w:val="o"/>
      <w:lvlJc w:val="left"/>
      <w:pPr>
        <w:ind w:left="720" w:hanging="4"/>
        <w:tabs>
          <w:tab w:val="left" w:pos="363" w:leader="none"/>
          <w:tab w:val="num" w:pos="1420" w:leader="none"/>
        </w:tabs>
      </w:pPr>
      <w:rPr>
        <w:rFonts w:ascii="Times New Roman" w:hAnsi="Times New Roman" w:eastAsia="Times New Roman" w:cs="Times New Roman"/>
        <w:b w:val="0"/>
        <w:bCs w:val="0"/>
        <w:i w:val="0"/>
        <w:iCs w:val="0"/>
        <w:caps w:val="0"/>
        <w:smallCaps w:val="0"/>
        <w:strike w:val="0"/>
        <w:color w:val="000000"/>
        <w:spacing w:val="0"/>
        <w:position w:val="0"/>
        <w:highlight w:val="none"/>
        <w:vertAlign w:val="baseline"/>
      </w:rPr>
    </w:lvl>
    <w:lvl w:ilvl="2">
      <w:start w:val="1"/>
      <w:numFmt w:val="bullet"/>
      <w:isLgl w:val="false"/>
      <w:suff w:val="tab"/>
      <w:lvlText w:val="▪"/>
      <w:lvlJc w:val="left"/>
      <w:pPr>
        <w:ind w:left="1440" w:firstLine="8"/>
        <w:tabs>
          <w:tab w:val="left" w:pos="363" w:leader="none"/>
          <w:tab w:val="left" w:pos="1100" w:leader="none"/>
          <w:tab w:val="num" w:pos="2140" w:leader="none"/>
        </w:tabs>
      </w:pPr>
      <w:rPr>
        <w:rFonts w:ascii="Times New Roman" w:hAnsi="Times New Roman" w:eastAsia="Times New Roman" w:cs="Times New Roman"/>
        <w:b w:val="0"/>
        <w:bCs w:val="0"/>
        <w:i w:val="0"/>
        <w:iCs w:val="0"/>
        <w:caps w:val="0"/>
        <w:smallCaps w:val="0"/>
        <w:strike w:val="0"/>
        <w:color w:val="000000"/>
        <w:spacing w:val="0"/>
        <w:position w:val="0"/>
        <w:highlight w:val="none"/>
        <w:vertAlign w:val="baseline"/>
      </w:rPr>
    </w:lvl>
    <w:lvl w:ilvl="3">
      <w:start w:val="1"/>
      <w:numFmt w:val="bullet"/>
      <w:isLgl w:val="false"/>
      <w:suff w:val="tab"/>
      <w:lvlText w:val="•"/>
      <w:lvlJc w:val="left"/>
      <w:pPr>
        <w:ind w:left="2160" w:firstLine="20"/>
        <w:tabs>
          <w:tab w:val="left" w:pos="363" w:leader="none"/>
          <w:tab w:val="left" w:pos="1100" w:leader="none"/>
          <w:tab w:val="num" w:pos="2860" w:leader="none"/>
        </w:tabs>
      </w:pPr>
      <w:rPr>
        <w:rFonts w:ascii="Times New Roman" w:hAnsi="Times New Roman" w:eastAsia="Times New Roman" w:cs="Times New Roman"/>
        <w:b w:val="0"/>
        <w:bCs w:val="0"/>
        <w:i w:val="0"/>
        <w:iCs w:val="0"/>
        <w:caps w:val="0"/>
        <w:smallCaps w:val="0"/>
        <w:strike w:val="0"/>
        <w:color w:val="000000"/>
        <w:spacing w:val="0"/>
        <w:position w:val="0"/>
        <w:highlight w:val="none"/>
        <w:vertAlign w:val="baseline"/>
      </w:rPr>
    </w:lvl>
    <w:lvl w:ilvl="4">
      <w:start w:val="1"/>
      <w:numFmt w:val="bullet"/>
      <w:isLgl w:val="false"/>
      <w:suff w:val="tab"/>
      <w:lvlText w:val="o"/>
      <w:lvlJc w:val="left"/>
      <w:pPr>
        <w:ind w:left="2880" w:firstLine="32"/>
        <w:tabs>
          <w:tab w:val="left" w:pos="363" w:leader="none"/>
          <w:tab w:val="left" w:pos="1100" w:leader="none"/>
          <w:tab w:val="num" w:pos="3580" w:leader="none"/>
        </w:tabs>
      </w:pPr>
      <w:rPr>
        <w:rFonts w:ascii="Times New Roman" w:hAnsi="Times New Roman" w:eastAsia="Times New Roman" w:cs="Times New Roman"/>
        <w:b w:val="0"/>
        <w:bCs w:val="0"/>
        <w:i w:val="0"/>
        <w:iCs w:val="0"/>
        <w:caps w:val="0"/>
        <w:smallCaps w:val="0"/>
        <w:strike w:val="0"/>
        <w:color w:val="000000"/>
        <w:spacing w:val="0"/>
        <w:position w:val="0"/>
        <w:highlight w:val="none"/>
        <w:vertAlign w:val="baseline"/>
      </w:rPr>
    </w:lvl>
    <w:lvl w:ilvl="5">
      <w:start w:val="1"/>
      <w:numFmt w:val="bullet"/>
      <w:isLgl w:val="false"/>
      <w:suff w:val="tab"/>
      <w:lvlText w:val="▪"/>
      <w:lvlJc w:val="left"/>
      <w:pPr>
        <w:ind w:left="3600" w:firstLine="44"/>
        <w:tabs>
          <w:tab w:val="left" w:pos="363" w:leader="none"/>
          <w:tab w:val="left" w:pos="1100" w:leader="none"/>
          <w:tab w:val="num" w:pos="4300" w:leader="none"/>
        </w:tabs>
      </w:pPr>
      <w:rPr>
        <w:rFonts w:ascii="Times New Roman" w:hAnsi="Times New Roman" w:eastAsia="Times New Roman" w:cs="Times New Roman"/>
        <w:b w:val="0"/>
        <w:bCs w:val="0"/>
        <w:i w:val="0"/>
        <w:iCs w:val="0"/>
        <w:caps w:val="0"/>
        <w:smallCaps w:val="0"/>
        <w:strike w:val="0"/>
        <w:color w:val="000000"/>
        <w:spacing w:val="0"/>
        <w:position w:val="0"/>
        <w:highlight w:val="none"/>
        <w:vertAlign w:val="baseline"/>
      </w:rPr>
    </w:lvl>
    <w:lvl w:ilvl="6">
      <w:start w:val="1"/>
      <w:numFmt w:val="bullet"/>
      <w:isLgl w:val="false"/>
      <w:suff w:val="tab"/>
      <w:lvlText w:val="•"/>
      <w:lvlJc w:val="left"/>
      <w:pPr>
        <w:ind w:left="4320" w:firstLine="56"/>
        <w:tabs>
          <w:tab w:val="left" w:pos="363" w:leader="none"/>
          <w:tab w:val="left" w:pos="1100" w:leader="none"/>
          <w:tab w:val="num" w:pos="5020" w:leader="none"/>
        </w:tabs>
      </w:pPr>
      <w:rPr>
        <w:rFonts w:ascii="Times New Roman" w:hAnsi="Times New Roman" w:eastAsia="Times New Roman" w:cs="Times New Roman"/>
        <w:b w:val="0"/>
        <w:bCs w:val="0"/>
        <w:i w:val="0"/>
        <w:iCs w:val="0"/>
        <w:caps w:val="0"/>
        <w:smallCaps w:val="0"/>
        <w:strike w:val="0"/>
        <w:color w:val="000000"/>
        <w:spacing w:val="0"/>
        <w:position w:val="0"/>
        <w:highlight w:val="none"/>
        <w:vertAlign w:val="baseline"/>
      </w:rPr>
    </w:lvl>
    <w:lvl w:ilvl="7">
      <w:start w:val="1"/>
      <w:numFmt w:val="bullet"/>
      <w:isLgl w:val="false"/>
      <w:suff w:val="tab"/>
      <w:lvlText w:val="o"/>
      <w:lvlJc w:val="left"/>
      <w:pPr>
        <w:ind w:left="5040" w:firstLine="68"/>
        <w:tabs>
          <w:tab w:val="left" w:pos="363" w:leader="none"/>
          <w:tab w:val="left" w:pos="1100" w:leader="none"/>
          <w:tab w:val="num" w:pos="5740" w:leader="none"/>
        </w:tabs>
      </w:pPr>
      <w:rPr>
        <w:rFonts w:ascii="Times New Roman" w:hAnsi="Times New Roman" w:eastAsia="Times New Roman" w:cs="Times New Roman"/>
        <w:b w:val="0"/>
        <w:bCs w:val="0"/>
        <w:i w:val="0"/>
        <w:iCs w:val="0"/>
        <w:caps w:val="0"/>
        <w:smallCaps w:val="0"/>
        <w:strike w:val="0"/>
        <w:color w:val="000000"/>
        <w:spacing w:val="0"/>
        <w:position w:val="0"/>
        <w:highlight w:val="none"/>
        <w:vertAlign w:val="baseline"/>
      </w:rPr>
    </w:lvl>
    <w:lvl w:ilvl="8">
      <w:start w:val="1"/>
      <w:numFmt w:val="bullet"/>
      <w:isLgl w:val="false"/>
      <w:suff w:val="tab"/>
      <w:lvlText w:val="▪"/>
      <w:lvlJc w:val="left"/>
      <w:pPr>
        <w:ind w:left="5760" w:firstLine="80"/>
        <w:tabs>
          <w:tab w:val="left" w:pos="363" w:leader="none"/>
          <w:tab w:val="left" w:pos="1100" w:leader="none"/>
          <w:tab w:val="num" w:pos="6460" w:leader="none"/>
        </w:tabs>
      </w:pPr>
      <w:rPr>
        <w:rFonts w:ascii="Times New Roman" w:hAnsi="Times New Roman" w:eastAsia="Times New Roman" w:cs="Times New Roman"/>
        <w:b w:val="0"/>
        <w:bCs w:val="0"/>
        <w:i w:val="0"/>
        <w:iCs w:val="0"/>
        <w:caps w:val="0"/>
        <w:smallCaps w:val="0"/>
        <w:strike w:val="0"/>
        <w:color w:val="000000"/>
        <w:spacing w:val="0"/>
        <w:position w:val="0"/>
        <w:highlight w:val="none"/>
        <w:vertAlign w:val="baseline"/>
      </w:rPr>
    </w:lvl>
  </w:abstractNum>
  <w:abstractNum w:abstractNumId="23">
    <w:multiLevelType w:val="hybridMultilevel"/>
    <w:styleLink w:val="1363"/>
    <w:lvl w:ilvl="0">
      <w:start w:val="1"/>
      <w:numFmt w:val="bullet"/>
      <w:pStyle w:val="1363"/>
      <w:isLgl w:val="false"/>
      <w:suff w:val="tab"/>
      <w:lvlText w:val="•"/>
      <w:lvlJc w:val="left"/>
      <w:pPr>
        <w:ind w:left="425" w:firstLine="284"/>
        <w:tabs>
          <w:tab w:val="num" w:pos="1134" w:leader="none"/>
        </w:tabs>
      </w:pPr>
      <w:rPr>
        <w:rFonts w:ascii="Symbol" w:hAnsi="Symbol" w:eastAsia="Symbol" w:cs="Symbol"/>
        <w:b w:val="0"/>
        <w:bCs w:val="0"/>
        <w:i w:val="0"/>
        <w:iCs w:val="0"/>
        <w:caps w:val="0"/>
        <w:smallCaps w:val="0"/>
        <w:strike w:val="0"/>
        <w:color w:val="000000"/>
        <w:spacing w:val="0"/>
        <w:position w:val="0"/>
        <w:highlight w:val="none"/>
        <w:vertAlign w:val="baseline"/>
      </w:rPr>
    </w:lvl>
    <w:lvl w:ilvl="1">
      <w:start w:val="1"/>
      <w:numFmt w:val="bullet"/>
      <w:isLgl w:val="false"/>
      <w:suff w:val="tab"/>
      <w:lvlText w:val="o"/>
      <w:lvlJc w:val="left"/>
      <w:pPr>
        <w:ind w:left="720" w:hanging="11"/>
        <w:tabs>
          <w:tab w:val="num" w:pos="1429" w:leader="none"/>
        </w:tabs>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lvl w:ilvl="2">
      <w:start w:val="1"/>
      <w:numFmt w:val="bullet"/>
      <w:isLgl w:val="false"/>
      <w:suff w:val="tab"/>
      <w:lvlText w:val="▪"/>
      <w:lvlJc w:val="left"/>
      <w:pPr>
        <w:ind w:left="1440" w:hanging="11"/>
        <w:tabs>
          <w:tab w:val="left" w:pos="1134" w:leader="none"/>
          <w:tab w:val="num" w:pos="2149" w:leader="none"/>
        </w:tabs>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lvl w:ilvl="3">
      <w:start w:val="1"/>
      <w:numFmt w:val="bullet"/>
      <w:isLgl w:val="false"/>
      <w:suff w:val="tab"/>
      <w:lvlText w:val="•"/>
      <w:lvlJc w:val="left"/>
      <w:pPr>
        <w:ind w:left="2160" w:hanging="11"/>
        <w:tabs>
          <w:tab w:val="left" w:pos="1134" w:leader="none"/>
          <w:tab w:val="num" w:pos="2869" w:leader="none"/>
        </w:tabs>
      </w:pPr>
      <w:rPr>
        <w:rFonts w:ascii="Symbol" w:hAnsi="Symbol" w:eastAsia="Symbol" w:cs="Symbol"/>
        <w:b w:val="0"/>
        <w:bCs w:val="0"/>
        <w:i w:val="0"/>
        <w:iCs w:val="0"/>
        <w:caps w:val="0"/>
        <w:smallCaps w:val="0"/>
        <w:strike w:val="0"/>
        <w:color w:val="000000"/>
        <w:spacing w:val="0"/>
        <w:position w:val="0"/>
        <w:highlight w:val="none"/>
        <w:vertAlign w:val="baseline"/>
      </w:rPr>
    </w:lvl>
    <w:lvl w:ilvl="4">
      <w:start w:val="1"/>
      <w:numFmt w:val="bullet"/>
      <w:isLgl w:val="false"/>
      <w:suff w:val="tab"/>
      <w:lvlText w:val="o"/>
      <w:lvlJc w:val="left"/>
      <w:pPr>
        <w:ind w:left="2880" w:hanging="11"/>
        <w:tabs>
          <w:tab w:val="left" w:pos="1134" w:leader="none"/>
          <w:tab w:val="num" w:pos="3589" w:leader="none"/>
        </w:tabs>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lvl w:ilvl="5">
      <w:start w:val="1"/>
      <w:numFmt w:val="bullet"/>
      <w:isLgl w:val="false"/>
      <w:suff w:val="tab"/>
      <w:lvlText w:val="▪"/>
      <w:lvlJc w:val="left"/>
      <w:pPr>
        <w:ind w:left="3600" w:hanging="11"/>
        <w:tabs>
          <w:tab w:val="left" w:pos="1134" w:leader="none"/>
          <w:tab w:val="num" w:pos="4309" w:leader="none"/>
        </w:tabs>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lvl w:ilvl="6">
      <w:start w:val="1"/>
      <w:numFmt w:val="bullet"/>
      <w:isLgl w:val="false"/>
      <w:suff w:val="tab"/>
      <w:lvlText w:val="•"/>
      <w:lvlJc w:val="left"/>
      <w:pPr>
        <w:ind w:left="4320" w:hanging="11"/>
        <w:tabs>
          <w:tab w:val="left" w:pos="1134" w:leader="none"/>
          <w:tab w:val="num" w:pos="5029" w:leader="none"/>
        </w:tabs>
      </w:pPr>
      <w:rPr>
        <w:rFonts w:ascii="Symbol" w:hAnsi="Symbol" w:eastAsia="Symbol" w:cs="Symbol"/>
        <w:b w:val="0"/>
        <w:bCs w:val="0"/>
        <w:i w:val="0"/>
        <w:iCs w:val="0"/>
        <w:caps w:val="0"/>
        <w:smallCaps w:val="0"/>
        <w:strike w:val="0"/>
        <w:color w:val="000000"/>
        <w:spacing w:val="0"/>
        <w:position w:val="0"/>
        <w:highlight w:val="none"/>
        <w:vertAlign w:val="baseline"/>
      </w:rPr>
    </w:lvl>
    <w:lvl w:ilvl="7">
      <w:start w:val="1"/>
      <w:numFmt w:val="bullet"/>
      <w:isLgl w:val="false"/>
      <w:suff w:val="tab"/>
      <w:lvlText w:val="o"/>
      <w:lvlJc w:val="left"/>
      <w:pPr>
        <w:ind w:left="5040" w:hanging="11"/>
        <w:tabs>
          <w:tab w:val="left" w:pos="1134" w:leader="none"/>
          <w:tab w:val="num" w:pos="5749" w:leader="none"/>
        </w:tabs>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lvl w:ilvl="8">
      <w:start w:val="1"/>
      <w:numFmt w:val="bullet"/>
      <w:isLgl w:val="false"/>
      <w:suff w:val="tab"/>
      <w:lvlText w:val="▪"/>
      <w:lvlJc w:val="left"/>
      <w:pPr>
        <w:ind w:left="5760" w:hanging="11"/>
        <w:tabs>
          <w:tab w:val="left" w:pos="1134" w:leader="none"/>
          <w:tab w:val="num" w:pos="6469" w:leader="none"/>
        </w:tabs>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abstractNum>
  <w:abstractNum w:abstractNumId="24">
    <w:multiLevelType w:val="hybridMultilevel"/>
    <w:lvl w:ilvl="0">
      <w:start w:val="1"/>
      <w:numFmt w:val="bullet"/>
      <w:isLgl w:val="false"/>
      <w:suff w:val="tab"/>
      <w:lvlText w:val=""/>
      <w:lvlJc w:val="left"/>
      <w:pPr>
        <w:ind w:left="1080" w:hanging="360"/>
        <w:tabs>
          <w:tab w:val="num" w:pos="1080" w:leader="none"/>
        </w:tabs>
      </w:pPr>
      <w:rPr>
        <w:rFonts w:hint="default" w:ascii="Symbol" w:hAnsi="Symbol"/>
      </w:rPr>
    </w:lvl>
    <w:lvl w:ilvl="1">
      <w:start w:val="1"/>
      <w:numFmt w:val="bullet"/>
      <w:pStyle w:val="1553"/>
      <w:isLgl w:val="false"/>
      <w:suff w:val="tab"/>
      <w:lvlText w:val=""/>
      <w:lvlJc w:val="left"/>
      <w:pPr>
        <w:ind w:left="1440" w:hanging="360"/>
        <w:tabs>
          <w:tab w:val="num" w:pos="1440" w:leader="none"/>
        </w:tabs>
      </w:pPr>
      <w:rPr>
        <w:rFonts w:hint="default" w:ascii="Symbol" w:hAnsi="Symbol"/>
      </w:rPr>
    </w:lvl>
    <w:lvl w:ilvl="2">
      <w:start w:val="1"/>
      <w:numFmt w:val="decimal"/>
      <w:isLgl w:val="false"/>
      <w:suff w:val="tab"/>
      <w:lvlText w:val="%3."/>
      <w:lvlJc w:val="left"/>
      <w:pPr>
        <w:ind w:left="2160" w:hanging="360"/>
        <w:tabs>
          <w:tab w:val="num" w:pos="2160" w:leader="none"/>
        </w:tabs>
      </w:pPr>
      <w:rPr>
        <w:rFonts w:cs="Times New Roman"/>
      </w:rPr>
    </w:lvl>
    <w:lvl w:ilvl="3">
      <w:start w:val="1"/>
      <w:numFmt w:val="decimal"/>
      <w:isLgl w:val="false"/>
      <w:suff w:val="tab"/>
      <w:lvlText w:val="%4."/>
      <w:lvlJc w:val="left"/>
      <w:pPr>
        <w:ind w:left="2880" w:hanging="360"/>
        <w:tabs>
          <w:tab w:val="num" w:pos="2880" w:leader="none"/>
        </w:tabs>
      </w:pPr>
      <w:rPr>
        <w:rFonts w:cs="Times New Roman"/>
      </w:rPr>
    </w:lvl>
    <w:lvl w:ilvl="4">
      <w:start w:val="1"/>
      <w:numFmt w:val="decimal"/>
      <w:isLgl w:val="false"/>
      <w:suff w:val="tab"/>
      <w:lvlText w:val="%5."/>
      <w:lvlJc w:val="left"/>
      <w:pPr>
        <w:ind w:left="3600" w:hanging="360"/>
        <w:tabs>
          <w:tab w:val="num" w:pos="3600" w:leader="none"/>
        </w:tabs>
      </w:pPr>
      <w:rPr>
        <w:rFonts w:cs="Times New Roman"/>
      </w:rPr>
    </w:lvl>
    <w:lvl w:ilvl="5">
      <w:start w:val="1"/>
      <w:numFmt w:val="decimal"/>
      <w:isLgl w:val="false"/>
      <w:suff w:val="tab"/>
      <w:lvlText w:val="%6."/>
      <w:lvlJc w:val="left"/>
      <w:pPr>
        <w:ind w:left="4320" w:hanging="360"/>
        <w:tabs>
          <w:tab w:val="num" w:pos="4320" w:leader="none"/>
        </w:tabs>
      </w:pPr>
      <w:rPr>
        <w:rFonts w:cs="Times New Roman"/>
      </w:rPr>
    </w:lvl>
    <w:lvl w:ilvl="6">
      <w:start w:val="1"/>
      <w:numFmt w:val="decimal"/>
      <w:isLgl w:val="false"/>
      <w:suff w:val="tab"/>
      <w:lvlText w:val="%7."/>
      <w:lvlJc w:val="left"/>
      <w:pPr>
        <w:ind w:left="5040" w:hanging="360"/>
        <w:tabs>
          <w:tab w:val="num" w:pos="5040" w:leader="none"/>
        </w:tabs>
      </w:pPr>
      <w:rPr>
        <w:rFonts w:cs="Times New Roman"/>
      </w:rPr>
    </w:lvl>
    <w:lvl w:ilvl="7">
      <w:start w:val="1"/>
      <w:numFmt w:val="decimal"/>
      <w:isLgl w:val="false"/>
      <w:suff w:val="tab"/>
      <w:lvlText w:val="%8."/>
      <w:lvlJc w:val="left"/>
      <w:pPr>
        <w:ind w:left="5760" w:hanging="360"/>
        <w:tabs>
          <w:tab w:val="num" w:pos="5760" w:leader="none"/>
        </w:tabs>
      </w:pPr>
      <w:rPr>
        <w:rFonts w:cs="Times New Roman"/>
      </w:rPr>
    </w:lvl>
    <w:lvl w:ilvl="8">
      <w:start w:val="1"/>
      <w:numFmt w:val="decimal"/>
      <w:isLgl w:val="false"/>
      <w:suff w:val="tab"/>
      <w:lvlText w:val="%9."/>
      <w:lvlJc w:val="left"/>
      <w:pPr>
        <w:ind w:left="6480" w:hanging="360"/>
        <w:tabs>
          <w:tab w:val="num" w:pos="6480" w:leader="none"/>
        </w:tabs>
      </w:pPr>
      <w:rPr>
        <w:rFonts w:cs="Times New Roman"/>
      </w:rPr>
    </w:lvl>
  </w:abstractNum>
  <w:abstractNum w:abstractNumId="25">
    <w:multiLevelType w:val="hybridMultilevel"/>
    <w:styleLink w:val="1386"/>
    <w:lvl w:ilvl="0">
      <w:start w:val="1"/>
      <w:numFmt w:val="decimal"/>
      <w:pStyle w:val="1386"/>
      <w:isLgl w:val="false"/>
      <w:suff w:val="tab"/>
      <w:lvlText w:val="%1)"/>
      <w:lvlJc w:val="left"/>
      <w:pPr>
        <w:ind w:left="371" w:firstLine="338"/>
        <w:tabs>
          <w:tab w:val="num" w:pos="1080" w:leader="none"/>
        </w:tabs>
      </w:pPr>
      <w:rPr>
        <w:rFonts w:hAnsi="Arial Unicode MS"/>
        <w:caps w:val="0"/>
        <w:smallCaps w:val="0"/>
        <w:strike w:val="0"/>
        <w:color w:val="000000"/>
        <w:spacing w:val="0"/>
        <w:position w:val="0"/>
        <w:highlight w:val="none"/>
        <w:vertAlign w:val="baseline"/>
      </w:rPr>
    </w:lvl>
    <w:lvl w:ilvl="1">
      <w:start w:val="1"/>
      <w:numFmt w:val="lowerLetter"/>
      <w:isLgl w:val="false"/>
      <w:suff w:val="tab"/>
      <w:lvlText w:val="%2."/>
      <w:lvlJc w:val="left"/>
      <w:pPr>
        <w:ind w:left="1080" w:firstLine="374"/>
        <w:tabs>
          <w:tab w:val="left" w:pos="1080" w:leader="none"/>
          <w:tab w:val="num" w:pos="1789" w:leader="none"/>
        </w:tabs>
      </w:pPr>
      <w:rPr>
        <w:rFonts w:hAnsi="Arial Unicode MS"/>
        <w:caps w:val="0"/>
        <w:smallCaps w:val="0"/>
        <w:strike w:val="0"/>
        <w:color w:val="000000"/>
        <w:spacing w:val="0"/>
        <w:position w:val="0"/>
        <w:highlight w:val="none"/>
        <w:vertAlign w:val="baseline"/>
      </w:rPr>
    </w:lvl>
    <w:lvl w:ilvl="2">
      <w:start w:val="1"/>
      <w:numFmt w:val="lowerRoman"/>
      <w:isLgl w:val="false"/>
      <w:suff w:val="tab"/>
      <w:lvlText w:val="%3."/>
      <w:lvlJc w:val="left"/>
      <w:pPr>
        <w:ind w:left="1800" w:firstLine="461"/>
        <w:tabs>
          <w:tab w:val="left" w:pos="1080" w:leader="none"/>
          <w:tab w:val="num" w:pos="2509" w:leader="none"/>
        </w:tabs>
      </w:pPr>
      <w:rPr>
        <w:rFonts w:hAnsi="Arial Unicode MS"/>
        <w:caps w:val="0"/>
        <w:smallCaps w:val="0"/>
        <w:strike w:val="0"/>
        <w:color w:val="000000"/>
        <w:spacing w:val="0"/>
        <w:position w:val="0"/>
        <w:highlight w:val="none"/>
        <w:vertAlign w:val="baseline"/>
      </w:rPr>
    </w:lvl>
    <w:lvl w:ilvl="3">
      <w:start w:val="1"/>
      <w:numFmt w:val="decimal"/>
      <w:isLgl w:val="false"/>
      <w:suff w:val="tab"/>
      <w:lvlText w:val="%4."/>
      <w:lvlJc w:val="left"/>
      <w:pPr>
        <w:ind w:left="2520" w:firstLine="398"/>
        <w:tabs>
          <w:tab w:val="left" w:pos="1080" w:leader="none"/>
          <w:tab w:val="num" w:pos="3229" w:leader="none"/>
        </w:tabs>
      </w:pPr>
      <w:rPr>
        <w:rFonts w:hAnsi="Arial Unicode MS"/>
        <w:caps w:val="0"/>
        <w:smallCaps w:val="0"/>
        <w:strike w:val="0"/>
        <w:color w:val="000000"/>
        <w:spacing w:val="0"/>
        <w:position w:val="0"/>
        <w:highlight w:val="none"/>
        <w:vertAlign w:val="baseline"/>
      </w:rPr>
    </w:lvl>
    <w:lvl w:ilvl="4">
      <w:start w:val="1"/>
      <w:numFmt w:val="lowerLetter"/>
      <w:isLgl w:val="false"/>
      <w:suff w:val="tab"/>
      <w:lvlText w:val="%5."/>
      <w:lvlJc w:val="left"/>
      <w:pPr>
        <w:ind w:left="3240" w:firstLine="410"/>
        <w:tabs>
          <w:tab w:val="left" w:pos="1080" w:leader="none"/>
          <w:tab w:val="num" w:pos="3949" w:leader="none"/>
        </w:tabs>
      </w:pPr>
      <w:rPr>
        <w:rFonts w:hAnsi="Arial Unicode MS"/>
        <w:caps w:val="0"/>
        <w:smallCaps w:val="0"/>
        <w:strike w:val="0"/>
        <w:color w:val="000000"/>
        <w:spacing w:val="0"/>
        <w:position w:val="0"/>
        <w:highlight w:val="none"/>
        <w:vertAlign w:val="baseline"/>
      </w:rPr>
    </w:lvl>
    <w:lvl w:ilvl="5">
      <w:start w:val="1"/>
      <w:numFmt w:val="lowerRoman"/>
      <w:isLgl w:val="false"/>
      <w:suff w:val="tab"/>
      <w:lvlText w:val="%6."/>
      <w:lvlJc w:val="left"/>
      <w:pPr>
        <w:ind w:left="3960" w:firstLine="497"/>
        <w:tabs>
          <w:tab w:val="left" w:pos="1080" w:leader="none"/>
          <w:tab w:val="num" w:pos="4669" w:leader="none"/>
        </w:tabs>
      </w:pPr>
      <w:rPr>
        <w:rFonts w:hAnsi="Arial Unicode MS"/>
        <w:caps w:val="0"/>
        <w:smallCaps w:val="0"/>
        <w:strike w:val="0"/>
        <w:color w:val="000000"/>
        <w:spacing w:val="0"/>
        <w:position w:val="0"/>
        <w:highlight w:val="none"/>
        <w:vertAlign w:val="baseline"/>
      </w:rPr>
    </w:lvl>
    <w:lvl w:ilvl="6">
      <w:start w:val="1"/>
      <w:numFmt w:val="decimal"/>
      <w:isLgl w:val="false"/>
      <w:suff w:val="tab"/>
      <w:lvlText w:val="%7."/>
      <w:lvlJc w:val="left"/>
      <w:pPr>
        <w:ind w:left="4680" w:firstLine="434"/>
        <w:tabs>
          <w:tab w:val="left" w:pos="1080" w:leader="none"/>
          <w:tab w:val="num" w:pos="5389" w:leader="none"/>
        </w:tabs>
      </w:pPr>
      <w:rPr>
        <w:rFonts w:hAnsi="Arial Unicode MS"/>
        <w:caps w:val="0"/>
        <w:smallCaps w:val="0"/>
        <w:strike w:val="0"/>
        <w:color w:val="000000"/>
        <w:spacing w:val="0"/>
        <w:position w:val="0"/>
        <w:highlight w:val="none"/>
        <w:vertAlign w:val="baseline"/>
      </w:rPr>
    </w:lvl>
    <w:lvl w:ilvl="7">
      <w:start w:val="1"/>
      <w:numFmt w:val="lowerLetter"/>
      <w:isLgl w:val="false"/>
      <w:suff w:val="tab"/>
      <w:lvlText w:val="%8."/>
      <w:lvlJc w:val="left"/>
      <w:pPr>
        <w:ind w:left="5400" w:firstLine="446"/>
        <w:tabs>
          <w:tab w:val="left" w:pos="1080" w:leader="none"/>
          <w:tab w:val="num" w:pos="6109" w:leader="none"/>
        </w:tabs>
      </w:pPr>
      <w:rPr>
        <w:rFonts w:hAnsi="Arial Unicode MS"/>
        <w:caps w:val="0"/>
        <w:smallCaps w:val="0"/>
        <w:strike w:val="0"/>
        <w:color w:val="000000"/>
        <w:spacing w:val="0"/>
        <w:position w:val="0"/>
        <w:highlight w:val="none"/>
        <w:vertAlign w:val="baseline"/>
      </w:rPr>
    </w:lvl>
    <w:lvl w:ilvl="8">
      <w:start w:val="1"/>
      <w:numFmt w:val="lowerRoman"/>
      <w:isLgl w:val="false"/>
      <w:suff w:val="tab"/>
      <w:lvlText w:val="%9."/>
      <w:lvlJc w:val="left"/>
      <w:pPr>
        <w:ind w:left="6120" w:firstLine="533"/>
        <w:tabs>
          <w:tab w:val="left" w:pos="1080" w:leader="none"/>
          <w:tab w:val="num" w:pos="6829" w:leader="none"/>
        </w:tabs>
      </w:pPr>
      <w:rPr>
        <w:rFonts w:hAnsi="Arial Unicode MS"/>
        <w:caps w:val="0"/>
        <w:smallCaps w:val="0"/>
        <w:strike w:val="0"/>
        <w:color w:val="000000"/>
        <w:spacing w:val="0"/>
        <w:position w:val="0"/>
        <w:highlight w:val="none"/>
        <w:vertAlign w:val="baseline"/>
      </w:rPr>
    </w:lvl>
  </w:abstractNum>
  <w:abstractNum w:abstractNumId="26">
    <w:multiLevelType w:val="hybridMultilevel"/>
    <w:lvl w:ilvl="0">
      <w:start w:val="4"/>
      <w:numFmt w:val="decimal"/>
      <w:isLgl w:val="false"/>
      <w:suff w:val="tab"/>
      <w:lvlText w:val="%1."/>
      <w:lvlJc w:val="left"/>
      <w:pPr>
        <w:ind w:left="675" w:hanging="675"/>
      </w:pPr>
      <w:rPr>
        <w:rFonts w:hint="default" w:cs="Times New Roman"/>
      </w:rPr>
    </w:lvl>
    <w:lvl w:ilvl="1">
      <w:start w:val="1"/>
      <w:numFmt w:val="bullet"/>
      <w:isLgl w:val="false"/>
      <w:suff w:val="tab"/>
      <w:lvlText w:val=""/>
      <w:lvlJc w:val="left"/>
      <w:pPr>
        <w:ind w:left="1440" w:hanging="720"/>
      </w:pPr>
      <w:rPr>
        <w:rFonts w:hint="default" w:ascii="Symbol" w:hAnsi="Symbol"/>
      </w:rPr>
    </w:lvl>
    <w:lvl w:ilvl="2">
      <w:start w:val="1"/>
      <w:numFmt w:val="decimal"/>
      <w:isLgl w:val="false"/>
      <w:suff w:val="tab"/>
      <w:lvlText w:val="%1.%2.%3."/>
      <w:lvlJc w:val="left"/>
      <w:pPr>
        <w:ind w:left="2160" w:hanging="720"/>
      </w:pPr>
      <w:rPr>
        <w:rFonts w:hint="default" w:cs="Times New Roman"/>
      </w:rPr>
    </w:lvl>
    <w:lvl w:ilvl="3">
      <w:start w:val="1"/>
      <w:numFmt w:val="decimal"/>
      <w:pStyle w:val="1552"/>
      <w:isLgl w:val="false"/>
      <w:suff w:val="tab"/>
      <w:lvlText w:val="%1.%2.%3.%4."/>
      <w:lvlJc w:val="left"/>
      <w:pPr>
        <w:ind w:left="3240" w:hanging="1080"/>
      </w:pPr>
      <w:rPr>
        <w:rFonts w:hint="default" w:cs="Times New Roman"/>
      </w:rPr>
    </w:lvl>
    <w:lvl w:ilvl="4">
      <w:start w:val="1"/>
      <w:numFmt w:val="decimal"/>
      <w:isLgl w:val="false"/>
      <w:suff w:val="tab"/>
      <w:lvlText w:val="%1.%2.%3.%4.%5."/>
      <w:lvlJc w:val="left"/>
      <w:pPr>
        <w:ind w:left="3960" w:hanging="1080"/>
      </w:pPr>
      <w:rPr>
        <w:rFonts w:hint="default" w:cs="Times New Roman"/>
      </w:rPr>
    </w:lvl>
    <w:lvl w:ilvl="5">
      <w:start w:val="1"/>
      <w:numFmt w:val="decimal"/>
      <w:isLgl w:val="false"/>
      <w:suff w:val="tab"/>
      <w:lvlText w:val="%1.%2.%3.%4.%5.%6."/>
      <w:lvlJc w:val="left"/>
      <w:pPr>
        <w:ind w:left="5040" w:hanging="1440"/>
      </w:pPr>
      <w:rPr>
        <w:rFonts w:hint="default" w:cs="Times New Roman"/>
      </w:rPr>
    </w:lvl>
    <w:lvl w:ilvl="6">
      <w:start w:val="1"/>
      <w:numFmt w:val="decimal"/>
      <w:isLgl w:val="false"/>
      <w:suff w:val="tab"/>
      <w:lvlText w:val="%1.%2.%3.%4.%5.%6.%7."/>
      <w:lvlJc w:val="left"/>
      <w:pPr>
        <w:ind w:left="6120" w:hanging="1800"/>
      </w:pPr>
      <w:rPr>
        <w:rFonts w:hint="default" w:cs="Times New Roman"/>
      </w:rPr>
    </w:lvl>
    <w:lvl w:ilvl="7">
      <w:start w:val="1"/>
      <w:numFmt w:val="decimal"/>
      <w:isLgl w:val="false"/>
      <w:suff w:val="tab"/>
      <w:lvlText w:val="%1.%2.%3.%4.%5.%6.%7.%8."/>
      <w:lvlJc w:val="left"/>
      <w:pPr>
        <w:ind w:left="6840" w:hanging="1800"/>
      </w:pPr>
      <w:rPr>
        <w:rFonts w:hint="default" w:cs="Times New Roman"/>
      </w:rPr>
    </w:lvl>
    <w:lvl w:ilvl="8">
      <w:start w:val="1"/>
      <w:numFmt w:val="decimal"/>
      <w:isLgl w:val="false"/>
      <w:suff w:val="tab"/>
      <w:lvlText w:val="%1.%2.%3.%4.%5.%6.%7.%8.%9."/>
      <w:lvlJc w:val="left"/>
      <w:pPr>
        <w:ind w:left="7920" w:hanging="2160"/>
      </w:pPr>
      <w:rPr>
        <w:rFonts w:hint="default" w:cs="Times New Roman"/>
      </w:rPr>
    </w:lvl>
  </w:abstractNum>
  <w:abstractNum w:abstractNumId="27">
    <w:multiLevelType w:val="hybridMultilevel"/>
    <w:styleLink w:val="1342"/>
    <w:lvl w:ilvl="0">
      <w:start w:val="1"/>
      <w:numFmt w:val="decimal"/>
      <w:pStyle w:val="1342"/>
      <w:isLgl w:val="false"/>
      <w:suff w:val="tab"/>
      <w:lvlText w:val="%1."/>
      <w:lvlJc w:val="left"/>
      <w:pPr>
        <w:ind w:left="432" w:firstLine="277"/>
        <w:tabs>
          <w:tab w:val="num" w:pos="1141" w:leader="none"/>
        </w:tabs>
      </w:pPr>
      <w:rPr>
        <w:rFonts w:hAnsi="Arial Unicode MS"/>
        <w:caps w:val="0"/>
        <w:smallCaps w:val="0"/>
        <w:strike w:val="0"/>
        <w:color w:val="000000"/>
        <w:spacing w:val="0"/>
        <w:position w:val="0"/>
        <w:highlight w:val="none"/>
        <w:vertAlign w:val="baseline"/>
      </w:rPr>
    </w:lvl>
    <w:lvl w:ilvl="1">
      <w:start w:val="1"/>
      <w:numFmt w:val="decimal"/>
      <w:isLgl w:val="false"/>
      <w:suff w:val="tab"/>
      <w:lvlText w:val="%2."/>
      <w:lvlJc w:val="left"/>
      <w:pPr>
        <w:ind w:left="707" w:firstLine="2"/>
        <w:tabs>
          <w:tab w:val="num" w:pos="1416" w:leader="none"/>
        </w:tabs>
      </w:pPr>
      <w:rPr>
        <w:rFonts w:hAnsi="Arial Unicode MS"/>
        <w:caps w:val="0"/>
        <w:smallCaps w:val="0"/>
        <w:strike w:val="0"/>
        <w:color w:val="000000"/>
        <w:spacing w:val="0"/>
        <w:position w:val="0"/>
        <w:highlight w:val="none"/>
        <w:vertAlign w:val="baseline"/>
      </w:rPr>
    </w:lvl>
    <w:lvl w:ilvl="2">
      <w:start w:val="1"/>
      <w:numFmt w:val="decimal"/>
      <w:isLgl w:val="false"/>
      <w:suff w:val="tab"/>
      <w:lvlText w:val="%2.%3."/>
      <w:lvlJc w:val="left"/>
      <w:pPr>
        <w:ind w:left="1200" w:firstLine="134"/>
        <w:tabs>
          <w:tab w:val="num" w:pos="1909" w:leader="none"/>
        </w:tabs>
      </w:pPr>
      <w:rPr>
        <w:rFonts w:hAnsi="Arial Unicode MS"/>
        <w:caps w:val="0"/>
        <w:smallCaps w:val="0"/>
        <w:strike w:val="0"/>
        <w:color w:val="000000"/>
        <w:spacing w:val="0"/>
        <w:position w:val="0"/>
        <w:highlight w:val="none"/>
        <w:vertAlign w:val="baseline"/>
      </w:rPr>
    </w:lvl>
    <w:lvl w:ilvl="3">
      <w:start w:val="1"/>
      <w:numFmt w:val="decimal"/>
      <w:isLgl w:val="false"/>
      <w:suff w:val="tab"/>
      <w:lvlText w:val="%2.%3.%4."/>
      <w:lvlJc w:val="left"/>
      <w:pPr>
        <w:ind w:left="2040" w:firstLine="266"/>
        <w:tabs>
          <w:tab w:val="num" w:pos="2749" w:leader="none"/>
        </w:tabs>
      </w:pPr>
      <w:rPr>
        <w:rFonts w:hAnsi="Arial Unicode MS"/>
        <w:caps w:val="0"/>
        <w:smallCaps w:val="0"/>
        <w:strike w:val="0"/>
        <w:color w:val="000000"/>
        <w:spacing w:val="0"/>
        <w:position w:val="0"/>
        <w:highlight w:val="none"/>
        <w:vertAlign w:val="baseline"/>
      </w:rPr>
    </w:lvl>
    <w:lvl w:ilvl="4">
      <w:start w:val="1"/>
      <w:numFmt w:val="decimal"/>
      <w:isLgl w:val="false"/>
      <w:suff w:val="tab"/>
      <w:lvlText w:val="%2.%3.%4.%5."/>
      <w:lvlJc w:val="left"/>
      <w:pPr>
        <w:ind w:left="3240" w:firstLine="398"/>
        <w:tabs>
          <w:tab w:val="num" w:pos="3949" w:leader="none"/>
        </w:tabs>
      </w:pPr>
      <w:rPr>
        <w:rFonts w:hAnsi="Arial Unicode MS"/>
        <w:caps w:val="0"/>
        <w:smallCaps w:val="0"/>
        <w:strike w:val="0"/>
        <w:color w:val="000000"/>
        <w:spacing w:val="0"/>
        <w:position w:val="0"/>
        <w:highlight w:val="none"/>
        <w:vertAlign w:val="baseline"/>
      </w:rPr>
    </w:lvl>
    <w:lvl w:ilvl="5">
      <w:start w:val="1"/>
      <w:numFmt w:val="decimal"/>
      <w:isLgl w:val="false"/>
      <w:suff w:val="tab"/>
      <w:lvlText w:val="%2.%3.%4.%5.%6."/>
      <w:lvlJc w:val="left"/>
      <w:pPr>
        <w:ind w:left="4080" w:firstLine="530"/>
        <w:tabs>
          <w:tab w:val="num" w:pos="4789" w:leader="none"/>
        </w:tabs>
      </w:pPr>
      <w:rPr>
        <w:rFonts w:hAnsi="Arial Unicode MS"/>
        <w:caps w:val="0"/>
        <w:smallCaps w:val="0"/>
        <w:strike w:val="0"/>
        <w:color w:val="000000"/>
        <w:spacing w:val="0"/>
        <w:position w:val="0"/>
        <w:highlight w:val="none"/>
        <w:vertAlign w:val="baseline"/>
      </w:rPr>
    </w:lvl>
    <w:lvl w:ilvl="6">
      <w:start w:val="1"/>
      <w:numFmt w:val="decimal"/>
      <w:isLgl w:val="false"/>
      <w:suff w:val="tab"/>
      <w:lvlText w:val="%2.%3.%4.%5.%6.%7."/>
      <w:lvlJc w:val="left"/>
      <w:pPr>
        <w:ind w:left="5280" w:firstLine="338"/>
        <w:tabs>
          <w:tab w:val="num" w:pos="5989" w:leader="none"/>
        </w:tabs>
      </w:pPr>
      <w:rPr>
        <w:rFonts w:hAnsi="Arial Unicode MS"/>
        <w:caps w:val="0"/>
        <w:smallCaps w:val="0"/>
        <w:strike w:val="0"/>
        <w:color w:val="000000"/>
        <w:spacing w:val="0"/>
        <w:position w:val="0"/>
        <w:highlight w:val="none"/>
        <w:vertAlign w:val="baseline"/>
      </w:rPr>
    </w:lvl>
    <w:lvl w:ilvl="7">
      <w:start w:val="1"/>
      <w:numFmt w:val="decimal"/>
      <w:isLgl w:val="false"/>
      <w:suff w:val="tab"/>
      <w:lvlText w:val="%2.%3.%4.%5.%6.%7.%8."/>
      <w:lvlJc w:val="left"/>
      <w:pPr>
        <w:ind w:left="6120" w:firstLine="338"/>
        <w:tabs>
          <w:tab w:val="num" w:pos="6829" w:leader="none"/>
        </w:tabs>
      </w:pPr>
      <w:rPr>
        <w:rFonts w:hAnsi="Arial Unicode MS"/>
        <w:caps w:val="0"/>
        <w:smallCaps w:val="0"/>
        <w:strike w:val="0"/>
        <w:color w:val="000000"/>
        <w:spacing w:val="0"/>
        <w:position w:val="0"/>
        <w:highlight w:val="none"/>
        <w:vertAlign w:val="baseline"/>
      </w:rPr>
    </w:lvl>
    <w:lvl w:ilvl="8">
      <w:start w:val="1"/>
      <w:numFmt w:val="decimal"/>
      <w:isLgl w:val="false"/>
      <w:suff w:val="tab"/>
      <w:lvlText w:val="%2.%3.%4.%5.%6.%7.%8.%9."/>
      <w:lvlJc w:val="left"/>
      <w:pPr>
        <w:ind w:left="7320" w:hanging="22"/>
        <w:tabs>
          <w:tab w:val="num" w:pos="8029" w:leader="none"/>
        </w:tabs>
      </w:pPr>
      <w:rPr>
        <w:rFonts w:hAnsi="Arial Unicode MS"/>
        <w:caps w:val="0"/>
        <w:smallCaps w:val="0"/>
        <w:strike w:val="0"/>
        <w:color w:val="000000"/>
        <w:spacing w:val="0"/>
        <w:position w:val="0"/>
        <w:highlight w:val="none"/>
        <w:vertAlign w:val="baseline"/>
      </w:rPr>
    </w:lvl>
  </w:abstractNum>
  <w:abstractNum w:abstractNumId="28">
    <w:multiLevelType w:val="hybridMultilevel"/>
    <w:styleLink w:val="1403"/>
    <w:lvl w:ilvl="0">
      <w:start w:val="1"/>
      <w:numFmt w:val="decimal"/>
      <w:pStyle w:val="1403"/>
      <w:isLgl w:val="false"/>
      <w:suff w:val="tab"/>
      <w:lvlText w:val="%1."/>
      <w:lvlJc w:val="left"/>
      <w:pPr>
        <w:ind w:left="432" w:firstLine="270"/>
        <w:tabs>
          <w:tab w:val="num" w:pos="1134" w:leader="none"/>
        </w:tabs>
      </w:pPr>
      <w:rPr>
        <w:rFonts w:hAnsi="Arial Unicode MS"/>
        <w:caps w:val="0"/>
        <w:smallCaps w:val="0"/>
        <w:strike w:val="0"/>
        <w:color w:val="000000"/>
        <w:spacing w:val="0"/>
        <w:position w:val="0"/>
        <w:highlight w:val="none"/>
        <w:vertAlign w:val="baseline"/>
      </w:rPr>
    </w:lvl>
    <w:lvl w:ilvl="1">
      <w:start w:val="1"/>
      <w:numFmt w:val="decimal"/>
      <w:isLgl w:val="false"/>
      <w:suff w:val="tab"/>
      <w:lvlText w:val="%2."/>
      <w:lvlJc w:val="left"/>
      <w:pPr>
        <w:ind w:left="714" w:hanging="12"/>
        <w:tabs>
          <w:tab w:val="num" w:pos="1416" w:leader="none"/>
        </w:tabs>
      </w:pPr>
      <w:rPr>
        <w:rFonts w:hAnsi="Arial Unicode MS"/>
        <w:caps w:val="0"/>
        <w:smallCaps w:val="0"/>
        <w:strike w:val="0"/>
        <w:color w:val="000000"/>
        <w:spacing w:val="0"/>
        <w:position w:val="0"/>
        <w:highlight w:val="none"/>
        <w:vertAlign w:val="baseline"/>
      </w:rPr>
    </w:lvl>
    <w:lvl w:ilvl="2">
      <w:start w:val="1"/>
      <w:numFmt w:val="decimal"/>
      <w:isLgl w:val="false"/>
      <w:suff w:val="tab"/>
      <w:lvlText w:val="%2.%3."/>
      <w:lvlJc w:val="left"/>
      <w:pPr>
        <w:ind w:left="771" w:firstLine="399"/>
        <w:tabs>
          <w:tab w:val="num" w:pos="1473" w:leader="none"/>
        </w:tabs>
      </w:pPr>
      <w:rPr>
        <w:rFonts w:hAnsi="Arial Unicode MS"/>
        <w:caps w:val="0"/>
        <w:smallCaps w:val="0"/>
        <w:strike w:val="0"/>
        <w:color w:val="000000"/>
        <w:spacing w:val="0"/>
        <w:position w:val="0"/>
        <w:highlight w:val="none"/>
        <w:vertAlign w:val="baseline"/>
      </w:rPr>
    </w:lvl>
    <w:lvl w:ilvl="3">
      <w:start w:val="1"/>
      <w:numFmt w:val="decimal"/>
      <w:isLgl w:val="false"/>
      <w:suff w:val="tab"/>
      <w:lvlText w:val="%2.%3.%4."/>
      <w:lvlJc w:val="left"/>
      <w:pPr>
        <w:ind w:left="1473" w:firstLine="393"/>
        <w:tabs>
          <w:tab w:val="num" w:pos="2175" w:leader="none"/>
        </w:tabs>
      </w:pPr>
      <w:rPr>
        <w:rFonts w:hAnsi="Arial Unicode MS"/>
        <w:caps w:val="0"/>
        <w:smallCaps w:val="0"/>
        <w:strike w:val="0"/>
        <w:color w:val="000000"/>
        <w:spacing w:val="0"/>
        <w:position w:val="0"/>
        <w:highlight w:val="none"/>
        <w:vertAlign w:val="baseline"/>
      </w:rPr>
    </w:lvl>
    <w:lvl w:ilvl="4">
      <w:start w:val="1"/>
      <w:numFmt w:val="decimal"/>
      <w:isLgl w:val="false"/>
      <w:suff w:val="tab"/>
      <w:lvlText w:val="%2.%3.%4.%5."/>
      <w:lvlJc w:val="left"/>
      <w:pPr>
        <w:ind w:left="2535" w:firstLine="387"/>
        <w:tabs>
          <w:tab w:val="num" w:pos="3237" w:leader="none"/>
        </w:tabs>
      </w:pPr>
      <w:rPr>
        <w:rFonts w:hAnsi="Arial Unicode MS"/>
        <w:caps w:val="0"/>
        <w:smallCaps w:val="0"/>
        <w:strike w:val="0"/>
        <w:color w:val="000000"/>
        <w:spacing w:val="0"/>
        <w:position w:val="0"/>
        <w:highlight w:val="none"/>
        <w:vertAlign w:val="baseline"/>
      </w:rPr>
    </w:lvl>
    <w:lvl w:ilvl="5">
      <w:start w:val="1"/>
      <w:numFmt w:val="decimal"/>
      <w:isLgl w:val="false"/>
      <w:suff w:val="tab"/>
      <w:lvlText w:val="%2.%3.%4.%5.%6."/>
      <w:lvlJc w:val="left"/>
      <w:pPr>
        <w:ind w:left="3237" w:firstLine="381"/>
        <w:tabs>
          <w:tab w:val="num" w:pos="3939" w:leader="none"/>
        </w:tabs>
      </w:pPr>
      <w:rPr>
        <w:rFonts w:hAnsi="Arial Unicode MS"/>
        <w:caps w:val="0"/>
        <w:smallCaps w:val="0"/>
        <w:strike w:val="0"/>
        <w:color w:val="000000"/>
        <w:spacing w:val="0"/>
        <w:position w:val="0"/>
        <w:highlight w:val="none"/>
        <w:vertAlign w:val="baseline"/>
      </w:rPr>
    </w:lvl>
    <w:lvl w:ilvl="6">
      <w:start w:val="1"/>
      <w:numFmt w:val="decimal"/>
      <w:isLgl w:val="false"/>
      <w:suff w:val="tab"/>
      <w:lvlText w:val="%2.%3.%4.%5.%6.%7."/>
      <w:lvlJc w:val="left"/>
      <w:pPr>
        <w:ind w:left="4299" w:firstLine="324"/>
        <w:tabs>
          <w:tab w:val="num" w:pos="5001" w:leader="none"/>
        </w:tabs>
      </w:pPr>
      <w:rPr>
        <w:rFonts w:hAnsi="Arial Unicode MS"/>
        <w:caps w:val="0"/>
        <w:smallCaps w:val="0"/>
        <w:strike w:val="0"/>
        <w:color w:val="000000"/>
        <w:spacing w:val="0"/>
        <w:position w:val="0"/>
        <w:highlight w:val="none"/>
        <w:vertAlign w:val="baseline"/>
      </w:rPr>
    </w:lvl>
    <w:lvl w:ilvl="7">
      <w:start w:val="1"/>
      <w:numFmt w:val="decimal"/>
      <w:isLgl w:val="false"/>
      <w:suff w:val="tab"/>
      <w:lvlText w:val="%2.%3.%4.%5.%6.%7.%8."/>
      <w:lvlJc w:val="left"/>
      <w:pPr>
        <w:ind w:left="5001" w:firstLine="324"/>
        <w:tabs>
          <w:tab w:val="num" w:pos="5703" w:leader="none"/>
        </w:tabs>
      </w:pPr>
      <w:rPr>
        <w:rFonts w:hAnsi="Arial Unicode MS"/>
        <w:caps w:val="0"/>
        <w:smallCaps w:val="0"/>
        <w:strike w:val="0"/>
        <w:color w:val="000000"/>
        <w:spacing w:val="0"/>
        <w:position w:val="0"/>
        <w:highlight w:val="none"/>
        <w:vertAlign w:val="baseline"/>
      </w:rPr>
    </w:lvl>
    <w:lvl w:ilvl="8">
      <w:start w:val="1"/>
      <w:numFmt w:val="decimal"/>
      <w:isLgl w:val="false"/>
      <w:suff w:val="tab"/>
      <w:lvlText w:val="%2.%3.%4.%5.%6.%7.%8.%9."/>
      <w:lvlJc w:val="left"/>
      <w:pPr>
        <w:ind w:left="6063" w:hanging="36"/>
        <w:tabs>
          <w:tab w:val="num" w:pos="6765" w:leader="none"/>
        </w:tabs>
      </w:pPr>
      <w:rPr>
        <w:rFonts w:hAnsi="Arial Unicode MS"/>
        <w:caps w:val="0"/>
        <w:smallCaps w:val="0"/>
        <w:strike w:val="0"/>
        <w:color w:val="000000"/>
        <w:spacing w:val="0"/>
        <w:position w:val="0"/>
        <w:highlight w:val="none"/>
        <w:vertAlign w:val="baseline"/>
      </w:rPr>
    </w:lvl>
  </w:abstractNum>
  <w:abstractNum w:abstractNumId="29">
    <w:multiLevelType w:val="hybridMultilevel"/>
    <w:styleLink w:val="1385"/>
    <w:lvl w:ilvl="0">
      <w:start w:val="1"/>
      <w:numFmt w:val="bullet"/>
      <w:pStyle w:val="1385"/>
      <w:isLgl w:val="false"/>
      <w:suff w:val="tab"/>
      <w:lvlText w:val="•"/>
      <w:lvlJc w:val="left"/>
      <w:pPr>
        <w:ind w:left="371" w:firstLine="338"/>
        <w:tabs>
          <w:tab w:val="left" w:pos="284" w:leader="none"/>
          <w:tab w:val="num" w:pos="1080" w:leader="none"/>
        </w:tabs>
      </w:pPr>
      <w:rPr>
        <w:rFonts w:ascii="Symbol" w:hAnsi="Symbol" w:eastAsia="Symbol" w:cs="Symbol"/>
        <w:b w:val="0"/>
        <w:bCs w:val="0"/>
        <w:i w:val="0"/>
        <w:iCs w:val="0"/>
        <w:caps w:val="0"/>
        <w:smallCaps w:val="0"/>
        <w:strike w:val="0"/>
        <w:color w:val="000000"/>
        <w:spacing w:val="0"/>
        <w:position w:val="0"/>
        <w:highlight w:val="none"/>
        <w:vertAlign w:val="baseline"/>
      </w:rPr>
    </w:lvl>
    <w:lvl w:ilvl="1">
      <w:start w:val="1"/>
      <w:numFmt w:val="bullet"/>
      <w:isLgl w:val="false"/>
      <w:suff w:val="tab"/>
      <w:lvlText w:val="•"/>
      <w:lvlJc w:val="left"/>
      <w:pPr>
        <w:ind w:left="1091" w:firstLine="338"/>
        <w:tabs>
          <w:tab w:val="left" w:pos="284" w:leader="none"/>
          <w:tab w:val="left" w:pos="1080" w:leader="none"/>
          <w:tab w:val="num" w:pos="1800" w:leader="none"/>
        </w:tabs>
      </w:pPr>
      <w:rPr>
        <w:rFonts w:ascii="Symbol" w:hAnsi="Symbol" w:eastAsia="Symbol" w:cs="Symbol"/>
        <w:b w:val="0"/>
        <w:bCs w:val="0"/>
        <w:i w:val="0"/>
        <w:iCs w:val="0"/>
        <w:caps w:val="0"/>
        <w:smallCaps w:val="0"/>
        <w:strike w:val="0"/>
        <w:color w:val="000000"/>
        <w:spacing w:val="0"/>
        <w:position w:val="0"/>
        <w:highlight w:val="none"/>
        <w:vertAlign w:val="baseline"/>
      </w:rPr>
    </w:lvl>
    <w:lvl w:ilvl="2">
      <w:start w:val="1"/>
      <w:numFmt w:val="bullet"/>
      <w:isLgl w:val="false"/>
      <w:suff w:val="tab"/>
      <w:lvlText w:val="•"/>
      <w:lvlJc w:val="left"/>
      <w:pPr>
        <w:ind w:left="1811" w:firstLine="338"/>
        <w:tabs>
          <w:tab w:val="left" w:pos="284" w:leader="none"/>
          <w:tab w:val="left" w:pos="1080" w:leader="none"/>
          <w:tab w:val="num" w:pos="2520" w:leader="none"/>
        </w:tabs>
      </w:pPr>
      <w:rPr>
        <w:rFonts w:ascii="Symbol" w:hAnsi="Symbol" w:eastAsia="Symbol" w:cs="Symbol"/>
        <w:b w:val="0"/>
        <w:bCs w:val="0"/>
        <w:i w:val="0"/>
        <w:iCs w:val="0"/>
        <w:caps w:val="0"/>
        <w:smallCaps w:val="0"/>
        <w:strike w:val="0"/>
        <w:color w:val="000000"/>
        <w:spacing w:val="0"/>
        <w:position w:val="0"/>
        <w:highlight w:val="none"/>
        <w:vertAlign w:val="baseline"/>
      </w:rPr>
    </w:lvl>
    <w:lvl w:ilvl="3">
      <w:start w:val="1"/>
      <w:numFmt w:val="bullet"/>
      <w:isLgl w:val="false"/>
      <w:suff w:val="tab"/>
      <w:lvlText w:val="•"/>
      <w:lvlJc w:val="left"/>
      <w:pPr>
        <w:ind w:left="2531" w:firstLine="338"/>
        <w:tabs>
          <w:tab w:val="left" w:pos="284" w:leader="none"/>
          <w:tab w:val="left" w:pos="1080" w:leader="none"/>
          <w:tab w:val="num" w:pos="3240" w:leader="none"/>
        </w:tabs>
      </w:pPr>
      <w:rPr>
        <w:rFonts w:ascii="Symbol" w:hAnsi="Symbol" w:eastAsia="Symbol" w:cs="Symbol"/>
        <w:b w:val="0"/>
        <w:bCs w:val="0"/>
        <w:i w:val="0"/>
        <w:iCs w:val="0"/>
        <w:caps w:val="0"/>
        <w:smallCaps w:val="0"/>
        <w:strike w:val="0"/>
        <w:color w:val="000000"/>
        <w:spacing w:val="0"/>
        <w:position w:val="0"/>
        <w:highlight w:val="none"/>
        <w:vertAlign w:val="baseline"/>
      </w:rPr>
    </w:lvl>
    <w:lvl w:ilvl="4">
      <w:start w:val="1"/>
      <w:numFmt w:val="bullet"/>
      <w:isLgl w:val="false"/>
      <w:suff w:val="tab"/>
      <w:lvlText w:val="•"/>
      <w:lvlJc w:val="left"/>
      <w:pPr>
        <w:ind w:left="3251" w:firstLine="338"/>
        <w:tabs>
          <w:tab w:val="left" w:pos="284" w:leader="none"/>
          <w:tab w:val="left" w:pos="1080" w:leader="none"/>
          <w:tab w:val="num" w:pos="3960" w:leader="none"/>
        </w:tabs>
      </w:pPr>
      <w:rPr>
        <w:rFonts w:ascii="Symbol" w:hAnsi="Symbol" w:eastAsia="Symbol" w:cs="Symbol"/>
        <w:b w:val="0"/>
        <w:bCs w:val="0"/>
        <w:i w:val="0"/>
        <w:iCs w:val="0"/>
        <w:caps w:val="0"/>
        <w:smallCaps w:val="0"/>
        <w:strike w:val="0"/>
        <w:color w:val="000000"/>
        <w:spacing w:val="0"/>
        <w:position w:val="0"/>
        <w:highlight w:val="none"/>
        <w:vertAlign w:val="baseline"/>
      </w:rPr>
    </w:lvl>
    <w:lvl w:ilvl="5">
      <w:start w:val="1"/>
      <w:numFmt w:val="bullet"/>
      <w:isLgl w:val="false"/>
      <w:suff w:val="tab"/>
      <w:lvlText w:val="•"/>
      <w:lvlJc w:val="left"/>
      <w:pPr>
        <w:ind w:left="3971" w:firstLine="338"/>
        <w:tabs>
          <w:tab w:val="left" w:pos="284" w:leader="none"/>
          <w:tab w:val="left" w:pos="1080" w:leader="none"/>
          <w:tab w:val="num" w:pos="4680" w:leader="none"/>
        </w:tabs>
      </w:pPr>
      <w:rPr>
        <w:rFonts w:ascii="Symbol" w:hAnsi="Symbol" w:eastAsia="Symbol" w:cs="Symbol"/>
        <w:b w:val="0"/>
        <w:bCs w:val="0"/>
        <w:i w:val="0"/>
        <w:iCs w:val="0"/>
        <w:caps w:val="0"/>
        <w:smallCaps w:val="0"/>
        <w:strike w:val="0"/>
        <w:color w:val="000000"/>
        <w:spacing w:val="0"/>
        <w:position w:val="0"/>
        <w:highlight w:val="none"/>
        <w:vertAlign w:val="baseline"/>
      </w:rPr>
    </w:lvl>
    <w:lvl w:ilvl="6">
      <w:start w:val="1"/>
      <w:numFmt w:val="bullet"/>
      <w:isLgl w:val="false"/>
      <w:suff w:val="tab"/>
      <w:lvlText w:val="•"/>
      <w:lvlJc w:val="left"/>
      <w:pPr>
        <w:ind w:left="4691" w:firstLine="338"/>
        <w:tabs>
          <w:tab w:val="left" w:pos="284" w:leader="none"/>
          <w:tab w:val="left" w:pos="1080" w:leader="none"/>
          <w:tab w:val="num" w:pos="5400" w:leader="none"/>
        </w:tabs>
      </w:pPr>
      <w:rPr>
        <w:rFonts w:ascii="Symbol" w:hAnsi="Symbol" w:eastAsia="Symbol" w:cs="Symbol"/>
        <w:b w:val="0"/>
        <w:bCs w:val="0"/>
        <w:i w:val="0"/>
        <w:iCs w:val="0"/>
        <w:caps w:val="0"/>
        <w:smallCaps w:val="0"/>
        <w:strike w:val="0"/>
        <w:color w:val="000000"/>
        <w:spacing w:val="0"/>
        <w:position w:val="0"/>
        <w:highlight w:val="none"/>
        <w:vertAlign w:val="baseline"/>
      </w:rPr>
    </w:lvl>
    <w:lvl w:ilvl="7">
      <w:start w:val="1"/>
      <w:numFmt w:val="bullet"/>
      <w:isLgl w:val="false"/>
      <w:suff w:val="tab"/>
      <w:lvlText w:val="•"/>
      <w:lvlJc w:val="left"/>
      <w:pPr>
        <w:ind w:left="5411" w:firstLine="338"/>
        <w:tabs>
          <w:tab w:val="left" w:pos="284" w:leader="none"/>
          <w:tab w:val="left" w:pos="1080" w:leader="none"/>
          <w:tab w:val="num" w:pos="6120" w:leader="none"/>
        </w:tabs>
      </w:pPr>
      <w:rPr>
        <w:rFonts w:ascii="Symbol" w:hAnsi="Symbol" w:eastAsia="Symbol" w:cs="Symbol"/>
        <w:b w:val="0"/>
        <w:bCs w:val="0"/>
        <w:i w:val="0"/>
        <w:iCs w:val="0"/>
        <w:caps w:val="0"/>
        <w:smallCaps w:val="0"/>
        <w:strike w:val="0"/>
        <w:color w:val="000000"/>
        <w:spacing w:val="0"/>
        <w:position w:val="0"/>
        <w:highlight w:val="none"/>
        <w:vertAlign w:val="baseline"/>
      </w:rPr>
    </w:lvl>
    <w:lvl w:ilvl="8">
      <w:start w:val="1"/>
      <w:numFmt w:val="bullet"/>
      <w:isLgl w:val="false"/>
      <w:suff w:val="tab"/>
      <w:lvlText w:val="•"/>
      <w:lvlJc w:val="left"/>
      <w:pPr>
        <w:ind w:left="6131" w:firstLine="338"/>
        <w:tabs>
          <w:tab w:val="left" w:pos="284" w:leader="none"/>
          <w:tab w:val="left" w:pos="1080" w:leader="none"/>
          <w:tab w:val="num" w:pos="6840" w:leader="none"/>
        </w:tabs>
      </w:pPr>
      <w:rPr>
        <w:rFonts w:ascii="Symbol" w:hAnsi="Symbol" w:eastAsia="Symbol" w:cs="Symbol"/>
        <w:b w:val="0"/>
        <w:bCs w:val="0"/>
        <w:i w:val="0"/>
        <w:iCs w:val="0"/>
        <w:caps w:val="0"/>
        <w:smallCaps w:val="0"/>
        <w:strike w:val="0"/>
        <w:color w:val="000000"/>
        <w:spacing w:val="0"/>
        <w:position w:val="0"/>
        <w:highlight w:val="none"/>
        <w:vertAlign w:val="baseline"/>
      </w:rPr>
    </w:lvl>
  </w:abstractNum>
  <w:abstractNum w:abstractNumId="30">
    <w:multiLevelType w:val="hybridMultilevel"/>
    <w:styleLink w:val="1381"/>
    <w:lvl w:ilvl="0">
      <w:start w:val="1"/>
      <w:numFmt w:val="bullet"/>
      <w:pStyle w:val="1381"/>
      <w:isLgl w:val="false"/>
      <w:suff w:val="tab"/>
      <w:lvlText w:val="•"/>
      <w:lvlJc w:val="left"/>
      <w:pPr>
        <w:ind w:left="371" w:firstLine="338"/>
        <w:tabs>
          <w:tab w:val="left" w:pos="180" w:leader="none"/>
          <w:tab w:val="left" w:pos="284" w:leader="none"/>
          <w:tab w:val="num" w:pos="1080" w:leader="none"/>
        </w:tabs>
      </w:pPr>
      <w:rPr>
        <w:rFonts w:ascii="Symbol" w:hAnsi="Symbol" w:eastAsia="Symbol" w:cs="Symbol"/>
        <w:b w:val="0"/>
        <w:bCs w:val="0"/>
        <w:i w:val="0"/>
        <w:iCs w:val="0"/>
        <w:caps w:val="0"/>
        <w:smallCaps w:val="0"/>
        <w:strike w:val="0"/>
        <w:color w:val="000000"/>
        <w:spacing w:val="0"/>
        <w:position w:val="0"/>
        <w:highlight w:val="none"/>
        <w:vertAlign w:val="baseline"/>
      </w:rPr>
    </w:lvl>
    <w:lvl w:ilvl="1">
      <w:start w:val="1"/>
      <w:numFmt w:val="bullet"/>
      <w:isLgl w:val="false"/>
      <w:suff w:val="tab"/>
      <w:lvlText w:val="o"/>
      <w:lvlJc w:val="left"/>
      <w:pPr>
        <w:ind w:left="720" w:firstLine="14"/>
        <w:tabs>
          <w:tab w:val="left" w:pos="180" w:leader="none"/>
          <w:tab w:val="left" w:pos="284" w:leader="none"/>
          <w:tab w:val="num" w:pos="1429" w:leader="none"/>
        </w:tabs>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lvl w:ilvl="2">
      <w:start w:val="1"/>
      <w:numFmt w:val="bullet"/>
      <w:isLgl w:val="false"/>
      <w:suff w:val="tab"/>
      <w:lvlText w:val="▪"/>
      <w:lvlJc w:val="left"/>
      <w:pPr>
        <w:ind w:left="1440" w:firstLine="26"/>
        <w:tabs>
          <w:tab w:val="left" w:pos="180" w:leader="none"/>
          <w:tab w:val="left" w:pos="284" w:leader="none"/>
          <w:tab w:val="left" w:pos="1080" w:leader="none"/>
          <w:tab w:val="num" w:pos="2149" w:leader="none"/>
        </w:tabs>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lvl w:ilvl="3">
      <w:start w:val="1"/>
      <w:numFmt w:val="bullet"/>
      <w:isLgl w:val="false"/>
      <w:suff w:val="tab"/>
      <w:lvlText w:val="•"/>
      <w:lvlJc w:val="left"/>
      <w:pPr>
        <w:ind w:left="2160" w:firstLine="38"/>
        <w:tabs>
          <w:tab w:val="left" w:pos="180" w:leader="none"/>
          <w:tab w:val="left" w:pos="284" w:leader="none"/>
          <w:tab w:val="left" w:pos="1080" w:leader="none"/>
          <w:tab w:val="num" w:pos="2869" w:leader="none"/>
        </w:tabs>
      </w:pPr>
      <w:rPr>
        <w:rFonts w:ascii="Symbol" w:hAnsi="Symbol" w:eastAsia="Symbol" w:cs="Symbol"/>
        <w:b w:val="0"/>
        <w:bCs w:val="0"/>
        <w:i w:val="0"/>
        <w:iCs w:val="0"/>
        <w:caps w:val="0"/>
        <w:smallCaps w:val="0"/>
        <w:strike w:val="0"/>
        <w:color w:val="000000"/>
        <w:spacing w:val="0"/>
        <w:position w:val="0"/>
        <w:highlight w:val="none"/>
        <w:vertAlign w:val="baseline"/>
      </w:rPr>
    </w:lvl>
    <w:lvl w:ilvl="4">
      <w:start w:val="1"/>
      <w:numFmt w:val="bullet"/>
      <w:isLgl w:val="false"/>
      <w:suff w:val="tab"/>
      <w:lvlText w:val="o"/>
      <w:lvlJc w:val="left"/>
      <w:pPr>
        <w:ind w:left="2880" w:firstLine="50"/>
        <w:tabs>
          <w:tab w:val="left" w:pos="180" w:leader="none"/>
          <w:tab w:val="left" w:pos="284" w:leader="none"/>
          <w:tab w:val="left" w:pos="1080" w:leader="none"/>
          <w:tab w:val="num" w:pos="3589" w:leader="none"/>
        </w:tabs>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lvl w:ilvl="5">
      <w:start w:val="1"/>
      <w:numFmt w:val="bullet"/>
      <w:isLgl w:val="false"/>
      <w:suff w:val="tab"/>
      <w:lvlText w:val="▪"/>
      <w:lvlJc w:val="left"/>
      <w:pPr>
        <w:ind w:left="3600" w:firstLine="62"/>
        <w:tabs>
          <w:tab w:val="left" w:pos="180" w:leader="none"/>
          <w:tab w:val="left" w:pos="284" w:leader="none"/>
          <w:tab w:val="left" w:pos="1080" w:leader="none"/>
          <w:tab w:val="num" w:pos="4309" w:leader="none"/>
        </w:tabs>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lvl w:ilvl="6">
      <w:start w:val="1"/>
      <w:numFmt w:val="bullet"/>
      <w:isLgl w:val="false"/>
      <w:suff w:val="tab"/>
      <w:lvlText w:val="•"/>
      <w:lvlJc w:val="left"/>
      <w:pPr>
        <w:ind w:left="4320" w:firstLine="74"/>
        <w:tabs>
          <w:tab w:val="left" w:pos="180" w:leader="none"/>
          <w:tab w:val="left" w:pos="284" w:leader="none"/>
          <w:tab w:val="left" w:pos="1080" w:leader="none"/>
          <w:tab w:val="num" w:pos="5029" w:leader="none"/>
        </w:tabs>
      </w:pPr>
      <w:rPr>
        <w:rFonts w:ascii="Symbol" w:hAnsi="Symbol" w:eastAsia="Symbol" w:cs="Symbol"/>
        <w:b w:val="0"/>
        <w:bCs w:val="0"/>
        <w:i w:val="0"/>
        <w:iCs w:val="0"/>
        <w:caps w:val="0"/>
        <w:smallCaps w:val="0"/>
        <w:strike w:val="0"/>
        <w:color w:val="000000"/>
        <w:spacing w:val="0"/>
        <w:position w:val="0"/>
        <w:highlight w:val="none"/>
        <w:vertAlign w:val="baseline"/>
      </w:rPr>
    </w:lvl>
    <w:lvl w:ilvl="7">
      <w:start w:val="1"/>
      <w:numFmt w:val="bullet"/>
      <w:isLgl w:val="false"/>
      <w:suff w:val="tab"/>
      <w:lvlText w:val="o"/>
      <w:lvlJc w:val="left"/>
      <w:pPr>
        <w:ind w:left="5040" w:firstLine="86"/>
        <w:tabs>
          <w:tab w:val="left" w:pos="180" w:leader="none"/>
          <w:tab w:val="left" w:pos="284" w:leader="none"/>
          <w:tab w:val="left" w:pos="1080" w:leader="none"/>
          <w:tab w:val="num" w:pos="5749" w:leader="none"/>
        </w:tabs>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lvl w:ilvl="8">
      <w:start w:val="1"/>
      <w:numFmt w:val="bullet"/>
      <w:isLgl w:val="false"/>
      <w:suff w:val="tab"/>
      <w:lvlText w:val="▪"/>
      <w:lvlJc w:val="left"/>
      <w:pPr>
        <w:ind w:left="5760" w:firstLine="98"/>
        <w:tabs>
          <w:tab w:val="left" w:pos="180" w:leader="none"/>
          <w:tab w:val="left" w:pos="284" w:leader="none"/>
          <w:tab w:val="left" w:pos="1080" w:leader="none"/>
          <w:tab w:val="num" w:pos="6469" w:leader="none"/>
        </w:tabs>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abstractNum>
  <w:abstractNum w:abstractNumId="31">
    <w:multiLevelType w:val="hybridMultilevel"/>
    <w:styleLink w:val="1402"/>
    <w:lvl w:ilvl="0">
      <w:start w:val="1"/>
      <w:numFmt w:val="decimal"/>
      <w:pStyle w:val="1402"/>
      <w:isLgl w:val="false"/>
      <w:suff w:val="tab"/>
      <w:lvlText w:val="%1)"/>
      <w:lvlJc w:val="left"/>
      <w:pPr>
        <w:ind w:left="141" w:firstLine="426"/>
        <w:tabs>
          <w:tab w:val="num" w:pos="708" w:leader="none"/>
        </w:tabs>
      </w:pPr>
      <w:rPr>
        <w:rFonts w:hAnsi="Arial Unicode MS"/>
        <w:caps w:val="0"/>
        <w:smallCaps w:val="0"/>
        <w:strike w:val="0"/>
        <w:color w:val="000000"/>
        <w:spacing w:val="0"/>
        <w:position w:val="0"/>
        <w:highlight w:val="none"/>
        <w:vertAlign w:val="baseline"/>
      </w:rPr>
    </w:lvl>
    <w:lvl w:ilvl="1">
      <w:start w:val="1"/>
      <w:numFmt w:val="decimal"/>
      <w:isLgl w:val="false"/>
      <w:suff w:val="tab"/>
      <w:lvlText w:val="%2)"/>
      <w:lvlJc w:val="left"/>
      <w:pPr>
        <w:ind w:left="861" w:firstLine="426"/>
        <w:tabs>
          <w:tab w:val="num" w:pos="1428" w:leader="none"/>
        </w:tabs>
      </w:pPr>
      <w:rPr>
        <w:rFonts w:hAnsi="Arial Unicode MS"/>
        <w:caps w:val="0"/>
        <w:smallCaps w:val="0"/>
        <w:strike w:val="0"/>
        <w:color w:val="000000"/>
        <w:spacing w:val="0"/>
        <w:position w:val="0"/>
        <w:highlight w:val="none"/>
        <w:vertAlign w:val="baseline"/>
      </w:rPr>
    </w:lvl>
    <w:lvl w:ilvl="2">
      <w:start w:val="1"/>
      <w:numFmt w:val="decimal"/>
      <w:isLgl w:val="false"/>
      <w:suff w:val="tab"/>
      <w:lvlText w:val="%3)"/>
      <w:lvlJc w:val="left"/>
      <w:pPr>
        <w:ind w:left="1581" w:firstLine="426"/>
        <w:tabs>
          <w:tab w:val="num" w:pos="2148" w:leader="none"/>
        </w:tabs>
      </w:pPr>
      <w:rPr>
        <w:rFonts w:hAnsi="Arial Unicode MS"/>
        <w:caps w:val="0"/>
        <w:smallCaps w:val="0"/>
        <w:strike w:val="0"/>
        <w:color w:val="000000"/>
        <w:spacing w:val="0"/>
        <w:position w:val="0"/>
        <w:highlight w:val="none"/>
        <w:vertAlign w:val="baseline"/>
      </w:rPr>
    </w:lvl>
    <w:lvl w:ilvl="3">
      <w:start w:val="1"/>
      <w:numFmt w:val="decimal"/>
      <w:isLgl w:val="false"/>
      <w:suff w:val="tab"/>
      <w:lvlText w:val="%4)"/>
      <w:lvlJc w:val="left"/>
      <w:pPr>
        <w:ind w:left="2301" w:firstLine="426"/>
        <w:tabs>
          <w:tab w:val="num" w:pos="2868" w:leader="none"/>
        </w:tabs>
      </w:pPr>
      <w:rPr>
        <w:rFonts w:hAnsi="Arial Unicode MS"/>
        <w:caps w:val="0"/>
        <w:smallCaps w:val="0"/>
        <w:strike w:val="0"/>
        <w:color w:val="000000"/>
        <w:spacing w:val="0"/>
        <w:position w:val="0"/>
        <w:highlight w:val="none"/>
        <w:vertAlign w:val="baseline"/>
      </w:rPr>
    </w:lvl>
    <w:lvl w:ilvl="4">
      <w:start w:val="1"/>
      <w:numFmt w:val="decimal"/>
      <w:isLgl w:val="false"/>
      <w:suff w:val="tab"/>
      <w:lvlText w:val="%5)"/>
      <w:lvlJc w:val="left"/>
      <w:pPr>
        <w:ind w:left="3021" w:firstLine="426"/>
        <w:tabs>
          <w:tab w:val="num" w:pos="3588" w:leader="none"/>
        </w:tabs>
      </w:pPr>
      <w:rPr>
        <w:rFonts w:hAnsi="Arial Unicode MS"/>
        <w:caps w:val="0"/>
        <w:smallCaps w:val="0"/>
        <w:strike w:val="0"/>
        <w:color w:val="000000"/>
        <w:spacing w:val="0"/>
        <w:position w:val="0"/>
        <w:highlight w:val="none"/>
        <w:vertAlign w:val="baseline"/>
      </w:rPr>
    </w:lvl>
    <w:lvl w:ilvl="5">
      <w:start w:val="1"/>
      <w:numFmt w:val="decimal"/>
      <w:isLgl w:val="false"/>
      <w:suff w:val="tab"/>
      <w:lvlText w:val="%6)"/>
      <w:lvlJc w:val="left"/>
      <w:pPr>
        <w:ind w:left="3741" w:firstLine="426"/>
        <w:tabs>
          <w:tab w:val="num" w:pos="4308" w:leader="none"/>
        </w:tabs>
      </w:pPr>
      <w:rPr>
        <w:rFonts w:hAnsi="Arial Unicode MS"/>
        <w:caps w:val="0"/>
        <w:smallCaps w:val="0"/>
        <w:strike w:val="0"/>
        <w:color w:val="000000"/>
        <w:spacing w:val="0"/>
        <w:position w:val="0"/>
        <w:highlight w:val="none"/>
        <w:vertAlign w:val="baseline"/>
      </w:rPr>
    </w:lvl>
    <w:lvl w:ilvl="6">
      <w:start w:val="1"/>
      <w:numFmt w:val="decimal"/>
      <w:isLgl w:val="false"/>
      <w:suff w:val="tab"/>
      <w:lvlText w:val="%7)"/>
      <w:lvlJc w:val="left"/>
      <w:pPr>
        <w:ind w:left="4461" w:firstLine="426"/>
        <w:tabs>
          <w:tab w:val="num" w:pos="5028" w:leader="none"/>
        </w:tabs>
      </w:pPr>
      <w:rPr>
        <w:rFonts w:hAnsi="Arial Unicode MS"/>
        <w:caps w:val="0"/>
        <w:smallCaps w:val="0"/>
        <w:strike w:val="0"/>
        <w:color w:val="000000"/>
        <w:spacing w:val="0"/>
        <w:position w:val="0"/>
        <w:highlight w:val="none"/>
        <w:vertAlign w:val="baseline"/>
      </w:rPr>
    </w:lvl>
    <w:lvl w:ilvl="7">
      <w:start w:val="1"/>
      <w:numFmt w:val="decimal"/>
      <w:isLgl w:val="false"/>
      <w:suff w:val="tab"/>
      <w:lvlText w:val="%8)"/>
      <w:lvlJc w:val="left"/>
      <w:pPr>
        <w:ind w:left="5181" w:firstLine="426"/>
        <w:tabs>
          <w:tab w:val="num" w:pos="5748" w:leader="none"/>
        </w:tabs>
      </w:pPr>
      <w:rPr>
        <w:rFonts w:hAnsi="Arial Unicode MS"/>
        <w:caps w:val="0"/>
        <w:smallCaps w:val="0"/>
        <w:strike w:val="0"/>
        <w:color w:val="000000"/>
        <w:spacing w:val="0"/>
        <w:position w:val="0"/>
        <w:highlight w:val="none"/>
        <w:vertAlign w:val="baseline"/>
      </w:rPr>
    </w:lvl>
    <w:lvl w:ilvl="8">
      <w:start w:val="1"/>
      <w:numFmt w:val="decimal"/>
      <w:isLgl w:val="false"/>
      <w:suff w:val="tab"/>
      <w:lvlText w:val="%9)"/>
      <w:lvlJc w:val="left"/>
      <w:pPr>
        <w:ind w:left="5901" w:firstLine="426"/>
        <w:tabs>
          <w:tab w:val="num" w:pos="6468" w:leader="none"/>
        </w:tabs>
      </w:pPr>
      <w:rPr>
        <w:rFonts w:hAnsi="Arial Unicode MS"/>
        <w:caps w:val="0"/>
        <w:smallCaps w:val="0"/>
        <w:strike w:val="0"/>
        <w:color w:val="000000"/>
        <w:spacing w:val="0"/>
        <w:position w:val="0"/>
        <w:highlight w:val="none"/>
        <w:vertAlign w:val="baseline"/>
      </w:rPr>
    </w:lvl>
  </w:abstractNum>
  <w:abstractNum w:abstractNumId="32">
    <w:multiLevelType w:val="hybridMultilevel"/>
    <w:lvl w:ilvl="0">
      <w:start w:val="3"/>
      <w:numFmt w:val="decimal"/>
      <w:isLgl w:val="false"/>
      <w:suff w:val="tab"/>
      <w:lvlText w:val="%1."/>
      <w:lvlJc w:val="left"/>
      <w:pPr>
        <w:ind w:left="720" w:hanging="360"/>
      </w:pPr>
      <w:rPr>
        <w:rFonts w:hint="default"/>
        <w:b w:val="0"/>
        <w:i w:val="0"/>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33">
    <w:multiLevelType w:val="hybridMultilevel"/>
    <w:lvl w:ilvl="0">
      <w:start w:val="1"/>
      <w:numFmt w:val="decimal"/>
      <w:isLgl w:val="false"/>
      <w:suff w:val="tab"/>
      <w:lvlText w:val="%1."/>
      <w:lvlJc w:val="left"/>
      <w:pPr>
        <w:ind w:left="720" w:hanging="360"/>
      </w:pPr>
      <w:rPr>
        <w:rFonts w:hint="default"/>
      </w:rPr>
    </w:lvl>
    <w:lvl w:ilvl="1">
      <w:start w:val="1"/>
      <w:numFmt w:val="decimal"/>
      <w:isLgl/>
      <w:suff w:val="tab"/>
      <w:lvlText w:val="%1.%2."/>
      <w:lvlJc w:val="left"/>
      <w:pPr>
        <w:ind w:left="720" w:hanging="360"/>
      </w:pPr>
      <w:rPr>
        <w:rFonts w:hint="default"/>
      </w:rPr>
    </w:lvl>
    <w:lvl w:ilvl="2">
      <w:start w:val="1"/>
      <w:numFmt w:val="decimal"/>
      <w:isLgl/>
      <w:suff w:val="tab"/>
      <w:lvlText w:val="%1.%2.%3."/>
      <w:lvlJc w:val="left"/>
      <w:pPr>
        <w:ind w:left="1080" w:hanging="720"/>
      </w:pPr>
      <w:rPr>
        <w:rFonts w:hint="default"/>
      </w:rPr>
    </w:lvl>
    <w:lvl w:ilvl="3">
      <w:start w:val="1"/>
      <w:numFmt w:val="decimal"/>
      <w:isLgl/>
      <w:suff w:val="tab"/>
      <w:lvlText w:val="%1.%2.%3.%4."/>
      <w:lvlJc w:val="left"/>
      <w:pPr>
        <w:ind w:left="1080" w:hanging="720"/>
      </w:pPr>
      <w:rPr>
        <w:rFonts w:hint="default"/>
      </w:rPr>
    </w:lvl>
    <w:lvl w:ilvl="4">
      <w:start w:val="1"/>
      <w:numFmt w:val="decimal"/>
      <w:isLgl/>
      <w:suff w:val="tab"/>
      <w:lvlText w:val="%1.%2.%3.%4.%5."/>
      <w:lvlJc w:val="left"/>
      <w:pPr>
        <w:ind w:left="1440" w:hanging="1080"/>
      </w:pPr>
      <w:rPr>
        <w:rFonts w:hint="default"/>
      </w:rPr>
    </w:lvl>
    <w:lvl w:ilvl="5">
      <w:start w:val="1"/>
      <w:numFmt w:val="decimal"/>
      <w:isLgl/>
      <w:suff w:val="tab"/>
      <w:lvlText w:val="%1.%2.%3.%4.%5.%6."/>
      <w:lvlJc w:val="left"/>
      <w:pPr>
        <w:ind w:left="1440" w:hanging="1080"/>
      </w:pPr>
      <w:rPr>
        <w:rFonts w:hint="default"/>
      </w:rPr>
    </w:lvl>
    <w:lvl w:ilvl="6">
      <w:start w:val="1"/>
      <w:numFmt w:val="decimal"/>
      <w:isLgl/>
      <w:suff w:val="tab"/>
      <w:lvlText w:val="%1.%2.%3.%4.%5.%6.%7."/>
      <w:lvlJc w:val="left"/>
      <w:pPr>
        <w:ind w:left="1800" w:hanging="1440"/>
      </w:pPr>
      <w:rPr>
        <w:rFonts w:hint="default"/>
      </w:rPr>
    </w:lvl>
    <w:lvl w:ilvl="7">
      <w:start w:val="1"/>
      <w:numFmt w:val="decimal"/>
      <w:isLgl/>
      <w:suff w:val="tab"/>
      <w:lvlText w:val="%1.%2.%3.%4.%5.%6.%7.%8."/>
      <w:lvlJc w:val="left"/>
      <w:pPr>
        <w:ind w:left="1800" w:hanging="1440"/>
      </w:pPr>
      <w:rPr>
        <w:rFonts w:hint="default"/>
      </w:rPr>
    </w:lvl>
    <w:lvl w:ilvl="8">
      <w:start w:val="1"/>
      <w:numFmt w:val="decimal"/>
      <w:isLgl/>
      <w:suff w:val="tab"/>
      <w:lvlText w:val="%1.%2.%3.%4.%5.%6.%7.%8.%9."/>
      <w:lvlJc w:val="left"/>
      <w:pPr>
        <w:ind w:left="2160" w:hanging="1800"/>
      </w:pPr>
      <w:rPr>
        <w:rFonts w:hint="default"/>
      </w:rPr>
    </w:lvl>
  </w:abstractNum>
  <w:abstractNum w:abstractNumId="34">
    <w:multiLevelType w:val="hybridMultilevel"/>
    <w:styleLink w:val="1351"/>
    <w:lvl w:ilvl="0">
      <w:start w:val="1"/>
      <w:numFmt w:val="bullet"/>
      <w:pStyle w:val="1351"/>
      <w:isLgl w:val="false"/>
      <w:suff w:val="tab"/>
      <w:lvlText w:val="–"/>
      <w:lvlJc w:val="left"/>
      <w:pPr>
        <w:ind w:left="284" w:firstLine="425"/>
        <w:tabs>
          <w:tab w:val="num" w:pos="993" w:leader="none"/>
        </w:tabs>
      </w:pPr>
      <w:rPr>
        <w:rFonts w:ascii="Arial" w:hAnsi="Arial" w:eastAsia="Arial" w:cs="Arial"/>
        <w:b w:val="0"/>
        <w:bCs w:val="0"/>
        <w:i w:val="0"/>
        <w:iCs w:val="0"/>
        <w:caps w:val="0"/>
        <w:smallCaps w:val="0"/>
        <w:strike w:val="0"/>
        <w:color w:val="000000"/>
        <w:spacing w:val="0"/>
        <w:position w:val="0"/>
        <w:highlight w:val="none"/>
        <w:vertAlign w:val="baseline"/>
      </w:rPr>
    </w:lvl>
    <w:lvl w:ilvl="1">
      <w:start w:val="1"/>
      <w:numFmt w:val="bullet"/>
      <w:isLgl w:val="false"/>
      <w:suff w:val="tab"/>
      <w:lvlText w:val="o"/>
      <w:lvlJc w:val="left"/>
      <w:pPr>
        <w:ind w:left="720" w:firstLine="14"/>
        <w:tabs>
          <w:tab w:val="num" w:pos="1429" w:leader="none"/>
        </w:tabs>
      </w:pPr>
      <w:rPr>
        <w:rFonts w:ascii="Arial" w:hAnsi="Arial" w:eastAsia="Arial" w:cs="Arial"/>
        <w:b w:val="0"/>
        <w:bCs w:val="0"/>
        <w:i w:val="0"/>
        <w:iCs w:val="0"/>
        <w:caps w:val="0"/>
        <w:smallCaps w:val="0"/>
        <w:strike w:val="0"/>
        <w:color w:val="000000"/>
        <w:spacing w:val="0"/>
        <w:position w:val="0"/>
        <w:highlight w:val="none"/>
        <w:vertAlign w:val="baseline"/>
      </w:rPr>
    </w:lvl>
    <w:lvl w:ilvl="2">
      <w:start w:val="1"/>
      <w:numFmt w:val="bullet"/>
      <w:isLgl w:val="false"/>
      <w:suff w:val="tab"/>
      <w:lvlText w:val="▪"/>
      <w:lvlJc w:val="left"/>
      <w:pPr>
        <w:ind w:left="1440" w:firstLine="26"/>
        <w:tabs>
          <w:tab w:val="left" w:pos="993" w:leader="none"/>
          <w:tab w:val="num" w:pos="2149" w:leader="none"/>
        </w:tabs>
      </w:pPr>
      <w:rPr>
        <w:rFonts w:ascii="Arial" w:hAnsi="Arial" w:eastAsia="Arial" w:cs="Arial"/>
        <w:b w:val="0"/>
        <w:bCs w:val="0"/>
        <w:i w:val="0"/>
        <w:iCs w:val="0"/>
        <w:caps w:val="0"/>
        <w:smallCaps w:val="0"/>
        <w:strike w:val="0"/>
        <w:color w:val="000000"/>
        <w:spacing w:val="0"/>
        <w:position w:val="0"/>
        <w:highlight w:val="none"/>
        <w:vertAlign w:val="baseline"/>
      </w:rPr>
    </w:lvl>
    <w:lvl w:ilvl="3">
      <w:start w:val="1"/>
      <w:numFmt w:val="bullet"/>
      <w:isLgl w:val="false"/>
      <w:suff w:val="tab"/>
      <w:lvlText w:val="•"/>
      <w:lvlJc w:val="left"/>
      <w:pPr>
        <w:ind w:left="2160" w:firstLine="38"/>
        <w:tabs>
          <w:tab w:val="left" w:pos="993" w:leader="none"/>
          <w:tab w:val="num" w:pos="2869" w:leader="none"/>
        </w:tabs>
      </w:pPr>
      <w:rPr>
        <w:rFonts w:ascii="Arial" w:hAnsi="Arial" w:eastAsia="Arial" w:cs="Arial"/>
        <w:b w:val="0"/>
        <w:bCs w:val="0"/>
        <w:i w:val="0"/>
        <w:iCs w:val="0"/>
        <w:caps w:val="0"/>
        <w:smallCaps w:val="0"/>
        <w:strike w:val="0"/>
        <w:color w:val="000000"/>
        <w:spacing w:val="0"/>
        <w:position w:val="0"/>
        <w:highlight w:val="none"/>
        <w:vertAlign w:val="baseline"/>
      </w:rPr>
    </w:lvl>
    <w:lvl w:ilvl="4">
      <w:start w:val="1"/>
      <w:numFmt w:val="bullet"/>
      <w:isLgl w:val="false"/>
      <w:suff w:val="tab"/>
      <w:lvlText w:val="o"/>
      <w:lvlJc w:val="left"/>
      <w:pPr>
        <w:ind w:left="2880" w:firstLine="50"/>
        <w:tabs>
          <w:tab w:val="left" w:pos="993" w:leader="none"/>
          <w:tab w:val="num" w:pos="3589" w:leader="none"/>
        </w:tabs>
      </w:pPr>
      <w:rPr>
        <w:rFonts w:ascii="Arial" w:hAnsi="Arial" w:eastAsia="Arial" w:cs="Arial"/>
        <w:b w:val="0"/>
        <w:bCs w:val="0"/>
        <w:i w:val="0"/>
        <w:iCs w:val="0"/>
        <w:caps w:val="0"/>
        <w:smallCaps w:val="0"/>
        <w:strike w:val="0"/>
        <w:color w:val="000000"/>
        <w:spacing w:val="0"/>
        <w:position w:val="0"/>
        <w:highlight w:val="none"/>
        <w:vertAlign w:val="baseline"/>
      </w:rPr>
    </w:lvl>
    <w:lvl w:ilvl="5">
      <w:start w:val="1"/>
      <w:numFmt w:val="bullet"/>
      <w:isLgl w:val="false"/>
      <w:suff w:val="tab"/>
      <w:lvlText w:val="▪"/>
      <w:lvlJc w:val="left"/>
      <w:pPr>
        <w:ind w:left="3600" w:firstLine="62"/>
        <w:tabs>
          <w:tab w:val="left" w:pos="993" w:leader="none"/>
          <w:tab w:val="num" w:pos="4309" w:leader="none"/>
        </w:tabs>
      </w:pPr>
      <w:rPr>
        <w:rFonts w:ascii="Arial" w:hAnsi="Arial" w:eastAsia="Arial" w:cs="Arial"/>
        <w:b w:val="0"/>
        <w:bCs w:val="0"/>
        <w:i w:val="0"/>
        <w:iCs w:val="0"/>
        <w:caps w:val="0"/>
        <w:smallCaps w:val="0"/>
        <w:strike w:val="0"/>
        <w:color w:val="000000"/>
        <w:spacing w:val="0"/>
        <w:position w:val="0"/>
        <w:highlight w:val="none"/>
        <w:vertAlign w:val="baseline"/>
      </w:rPr>
    </w:lvl>
    <w:lvl w:ilvl="6">
      <w:start w:val="1"/>
      <w:numFmt w:val="bullet"/>
      <w:isLgl w:val="false"/>
      <w:suff w:val="tab"/>
      <w:lvlText w:val="•"/>
      <w:lvlJc w:val="left"/>
      <w:pPr>
        <w:ind w:left="4320" w:firstLine="74"/>
        <w:tabs>
          <w:tab w:val="left" w:pos="993" w:leader="none"/>
          <w:tab w:val="num" w:pos="5029" w:leader="none"/>
        </w:tabs>
      </w:pPr>
      <w:rPr>
        <w:rFonts w:ascii="Arial" w:hAnsi="Arial" w:eastAsia="Arial" w:cs="Arial"/>
        <w:b w:val="0"/>
        <w:bCs w:val="0"/>
        <w:i w:val="0"/>
        <w:iCs w:val="0"/>
        <w:caps w:val="0"/>
        <w:smallCaps w:val="0"/>
        <w:strike w:val="0"/>
        <w:color w:val="000000"/>
        <w:spacing w:val="0"/>
        <w:position w:val="0"/>
        <w:highlight w:val="none"/>
        <w:vertAlign w:val="baseline"/>
      </w:rPr>
    </w:lvl>
    <w:lvl w:ilvl="7">
      <w:start w:val="1"/>
      <w:numFmt w:val="bullet"/>
      <w:isLgl w:val="false"/>
      <w:suff w:val="tab"/>
      <w:lvlText w:val="o"/>
      <w:lvlJc w:val="left"/>
      <w:pPr>
        <w:ind w:left="5040" w:firstLine="86"/>
        <w:tabs>
          <w:tab w:val="left" w:pos="993" w:leader="none"/>
          <w:tab w:val="num" w:pos="5749" w:leader="none"/>
        </w:tabs>
      </w:pPr>
      <w:rPr>
        <w:rFonts w:ascii="Arial" w:hAnsi="Arial" w:eastAsia="Arial" w:cs="Arial"/>
        <w:b w:val="0"/>
        <w:bCs w:val="0"/>
        <w:i w:val="0"/>
        <w:iCs w:val="0"/>
        <w:caps w:val="0"/>
        <w:smallCaps w:val="0"/>
        <w:strike w:val="0"/>
        <w:color w:val="000000"/>
        <w:spacing w:val="0"/>
        <w:position w:val="0"/>
        <w:highlight w:val="none"/>
        <w:vertAlign w:val="baseline"/>
      </w:rPr>
    </w:lvl>
    <w:lvl w:ilvl="8">
      <w:start w:val="1"/>
      <w:numFmt w:val="bullet"/>
      <w:isLgl w:val="false"/>
      <w:suff w:val="tab"/>
      <w:lvlText w:val="▪"/>
      <w:lvlJc w:val="left"/>
      <w:pPr>
        <w:ind w:left="5760" w:firstLine="98"/>
        <w:tabs>
          <w:tab w:val="left" w:pos="993" w:leader="none"/>
          <w:tab w:val="num" w:pos="6469" w:leader="none"/>
        </w:tabs>
      </w:pPr>
      <w:rPr>
        <w:rFonts w:ascii="Arial" w:hAnsi="Arial" w:eastAsia="Arial" w:cs="Arial"/>
        <w:b w:val="0"/>
        <w:bCs w:val="0"/>
        <w:i w:val="0"/>
        <w:iCs w:val="0"/>
        <w:caps w:val="0"/>
        <w:smallCaps w:val="0"/>
        <w:strike w:val="0"/>
        <w:color w:val="000000"/>
        <w:spacing w:val="0"/>
        <w:position w:val="0"/>
        <w:highlight w:val="none"/>
        <w:vertAlign w:val="baseline"/>
      </w:rPr>
    </w:lvl>
  </w:abstractNum>
  <w:abstractNum w:abstractNumId="35">
    <w:multiLevelType w:val="hybridMultilevel"/>
    <w:styleLink w:val="1349"/>
    <w:lvl w:ilvl="0">
      <w:start w:val="1"/>
      <w:numFmt w:val="bullet"/>
      <w:pStyle w:val="1349"/>
      <w:isLgl w:val="false"/>
      <w:suff w:val="tab"/>
      <w:lvlText w:val="–"/>
      <w:lvlJc w:val="left"/>
      <w:pPr>
        <w:ind w:left="1296" w:hanging="587"/>
        <w:tabs>
          <w:tab w:val="left" w:pos="3960" w:leader="none"/>
        </w:tabs>
      </w:pPr>
      <w:rPr>
        <w:rFonts w:hAnsi="Arial Unicode MS"/>
        <w:caps w:val="0"/>
        <w:smallCaps w:val="0"/>
        <w:strike w:val="0"/>
        <w:color w:val="000000"/>
        <w:spacing w:val="0"/>
        <w:position w:val="0"/>
        <w:highlight w:val="none"/>
        <w:vertAlign w:val="baseline"/>
      </w:rPr>
    </w:lvl>
    <w:lvl w:ilvl="1">
      <w:start w:val="1"/>
      <w:numFmt w:val="bullet"/>
      <w:isLgl w:val="false"/>
      <w:suff w:val="tab"/>
      <w:lvlText w:val="–"/>
      <w:lvlJc w:val="left"/>
      <w:pPr>
        <w:ind w:left="2016" w:hanging="587"/>
        <w:tabs>
          <w:tab w:val="left" w:pos="993" w:leader="none"/>
          <w:tab w:val="left" w:pos="3960" w:leader="none"/>
        </w:tabs>
      </w:pPr>
      <w:rPr>
        <w:rFonts w:hAnsi="Arial Unicode MS"/>
        <w:caps w:val="0"/>
        <w:smallCaps w:val="0"/>
        <w:strike w:val="0"/>
        <w:color w:val="000000"/>
        <w:spacing w:val="0"/>
        <w:position w:val="0"/>
        <w:highlight w:val="none"/>
        <w:vertAlign w:val="baseline"/>
      </w:rPr>
    </w:lvl>
    <w:lvl w:ilvl="2">
      <w:start w:val="1"/>
      <w:numFmt w:val="bullet"/>
      <w:isLgl w:val="false"/>
      <w:suff w:val="tab"/>
      <w:lvlText w:val="–"/>
      <w:lvlJc w:val="left"/>
      <w:pPr>
        <w:ind w:left="2736" w:hanging="587"/>
        <w:tabs>
          <w:tab w:val="left" w:pos="993" w:leader="none"/>
          <w:tab w:val="left" w:pos="3960" w:leader="none"/>
        </w:tabs>
      </w:pPr>
      <w:rPr>
        <w:rFonts w:hAnsi="Arial Unicode MS"/>
        <w:caps w:val="0"/>
        <w:smallCaps w:val="0"/>
        <w:strike w:val="0"/>
        <w:color w:val="000000"/>
        <w:spacing w:val="0"/>
        <w:position w:val="0"/>
        <w:highlight w:val="none"/>
        <w:vertAlign w:val="baseline"/>
      </w:rPr>
    </w:lvl>
    <w:lvl w:ilvl="3">
      <w:start w:val="1"/>
      <w:numFmt w:val="bullet"/>
      <w:isLgl w:val="false"/>
      <w:suff w:val="tab"/>
      <w:lvlText w:val="–"/>
      <w:lvlJc w:val="left"/>
      <w:pPr>
        <w:ind w:left="3456" w:hanging="587"/>
        <w:tabs>
          <w:tab w:val="left" w:pos="993" w:leader="none"/>
        </w:tabs>
      </w:pPr>
      <w:rPr>
        <w:rFonts w:hAnsi="Arial Unicode MS"/>
        <w:caps w:val="0"/>
        <w:smallCaps w:val="0"/>
        <w:strike w:val="0"/>
        <w:color w:val="000000"/>
        <w:spacing w:val="0"/>
        <w:position w:val="0"/>
        <w:highlight w:val="none"/>
        <w:vertAlign w:val="baseline"/>
      </w:rPr>
    </w:lvl>
    <w:lvl w:ilvl="4">
      <w:start w:val="1"/>
      <w:numFmt w:val="bullet"/>
      <w:isLgl w:val="false"/>
      <w:suff w:val="tab"/>
      <w:lvlText w:val="–"/>
      <w:lvlJc w:val="left"/>
      <w:pPr>
        <w:ind w:left="284" w:firstLine="425"/>
        <w:tabs>
          <w:tab w:val="num" w:pos="993" w:leader="none"/>
          <w:tab w:val="left" w:pos="3960" w:leader="none"/>
        </w:tabs>
      </w:pPr>
      <w:rPr>
        <w:rFonts w:ascii="Times New Roman" w:hAnsi="Times New Roman" w:eastAsia="Times New Roman" w:cs="Times New Roman"/>
        <w:b w:val="0"/>
        <w:bCs w:val="0"/>
        <w:i w:val="0"/>
        <w:iCs w:val="0"/>
        <w:caps w:val="0"/>
        <w:smallCaps w:val="0"/>
        <w:strike w:val="0"/>
        <w:color w:val="000000"/>
        <w:spacing w:val="0"/>
        <w:position w:val="0"/>
        <w:highlight w:val="none"/>
        <w:vertAlign w:val="baseline"/>
      </w:rPr>
    </w:lvl>
    <w:lvl w:ilvl="5">
      <w:start w:val="1"/>
      <w:numFmt w:val="bullet"/>
      <w:isLgl w:val="false"/>
      <w:suff w:val="tab"/>
      <w:lvlText w:val="–"/>
      <w:lvlJc w:val="left"/>
      <w:pPr>
        <w:ind w:left="284" w:firstLine="425"/>
        <w:tabs>
          <w:tab w:val="num" w:pos="993" w:leader="none"/>
          <w:tab w:val="left" w:pos="3960" w:leader="none"/>
        </w:tabs>
      </w:pPr>
      <w:rPr>
        <w:rFonts w:ascii="Times New Roman" w:hAnsi="Times New Roman" w:eastAsia="Times New Roman" w:cs="Times New Roman"/>
        <w:b w:val="0"/>
        <w:bCs w:val="0"/>
        <w:i w:val="0"/>
        <w:iCs w:val="0"/>
        <w:caps w:val="0"/>
        <w:smallCaps w:val="0"/>
        <w:strike w:val="0"/>
        <w:color w:val="000000"/>
        <w:spacing w:val="0"/>
        <w:position w:val="0"/>
        <w:highlight w:val="none"/>
        <w:vertAlign w:val="baseline"/>
      </w:rPr>
    </w:lvl>
    <w:lvl w:ilvl="6">
      <w:start w:val="1"/>
      <w:numFmt w:val="bullet"/>
      <w:isLgl w:val="false"/>
      <w:suff w:val="tab"/>
      <w:lvlText w:val="–"/>
      <w:lvlJc w:val="left"/>
      <w:pPr>
        <w:ind w:left="284" w:firstLine="425"/>
        <w:tabs>
          <w:tab w:val="num" w:pos="993" w:leader="none"/>
          <w:tab w:val="left" w:pos="3960" w:leader="none"/>
        </w:tabs>
      </w:pPr>
      <w:rPr>
        <w:rFonts w:ascii="Times New Roman" w:hAnsi="Times New Roman" w:eastAsia="Times New Roman" w:cs="Times New Roman"/>
        <w:b w:val="0"/>
        <w:bCs w:val="0"/>
        <w:i w:val="0"/>
        <w:iCs w:val="0"/>
        <w:caps w:val="0"/>
        <w:smallCaps w:val="0"/>
        <w:strike w:val="0"/>
        <w:color w:val="000000"/>
        <w:spacing w:val="0"/>
        <w:position w:val="0"/>
        <w:highlight w:val="none"/>
        <w:vertAlign w:val="baseline"/>
      </w:rPr>
    </w:lvl>
    <w:lvl w:ilvl="7">
      <w:start w:val="1"/>
      <w:numFmt w:val="bullet"/>
      <w:isLgl w:val="false"/>
      <w:suff w:val="tab"/>
      <w:lvlText w:val="–"/>
      <w:lvlJc w:val="left"/>
      <w:pPr>
        <w:ind w:left="284" w:firstLine="425"/>
        <w:tabs>
          <w:tab w:val="num" w:pos="993" w:leader="none"/>
          <w:tab w:val="left" w:pos="3960" w:leader="none"/>
        </w:tabs>
      </w:pPr>
      <w:rPr>
        <w:rFonts w:ascii="Times New Roman" w:hAnsi="Times New Roman" w:eastAsia="Times New Roman" w:cs="Times New Roman"/>
        <w:b w:val="0"/>
        <w:bCs w:val="0"/>
        <w:i w:val="0"/>
        <w:iCs w:val="0"/>
        <w:caps w:val="0"/>
        <w:smallCaps w:val="0"/>
        <w:strike w:val="0"/>
        <w:color w:val="000000"/>
        <w:spacing w:val="0"/>
        <w:position w:val="0"/>
        <w:highlight w:val="none"/>
        <w:vertAlign w:val="baseline"/>
      </w:rPr>
    </w:lvl>
    <w:lvl w:ilvl="8">
      <w:start w:val="1"/>
      <w:numFmt w:val="bullet"/>
      <w:isLgl w:val="false"/>
      <w:suff w:val="tab"/>
      <w:lvlText w:val="–"/>
      <w:lvlJc w:val="left"/>
      <w:pPr>
        <w:ind w:left="284" w:firstLine="425"/>
        <w:tabs>
          <w:tab w:val="num" w:pos="993" w:leader="none"/>
          <w:tab w:val="left" w:pos="3960" w:leader="none"/>
        </w:tabs>
      </w:pPr>
      <w:rPr>
        <w:rFonts w:ascii="Times New Roman" w:hAnsi="Times New Roman" w:eastAsia="Times New Roman" w:cs="Times New Roman"/>
        <w:b w:val="0"/>
        <w:bCs w:val="0"/>
        <w:i w:val="0"/>
        <w:iCs w:val="0"/>
        <w:caps w:val="0"/>
        <w:smallCaps w:val="0"/>
        <w:strike w:val="0"/>
        <w:color w:val="000000"/>
        <w:spacing w:val="0"/>
        <w:position w:val="0"/>
        <w:highlight w:val="none"/>
        <w:vertAlign w:val="baseline"/>
      </w:rPr>
    </w:lvl>
  </w:abstractNum>
  <w:abstractNum w:abstractNumId="36">
    <w:multiLevelType w:val="hybridMultilevel"/>
    <w:lvl w:ilvl="0">
      <w:start w:val="1"/>
      <w:numFmt w:val="decimal"/>
      <w:pStyle w:val="1454"/>
      <w:isLgl w:val="false"/>
      <w:suff w:val="tab"/>
      <w:lvlText w:val="%1."/>
      <w:lvlJc w:val="left"/>
      <w:pPr>
        <w:ind w:left="1211" w:hanging="360"/>
        <w:tabs>
          <w:tab w:val="num" w:pos="1211" w:leader="none"/>
        </w:tabs>
      </w:pPr>
      <w:rPr>
        <w:rFonts w:hint="default" w:ascii="Times New Roman" w:hAnsi="Times New Roman" w:eastAsia="Times New Roman" w:cs="Times New Roman"/>
        <w:b/>
        <w:sz w:val="28"/>
        <w:szCs w:val="28"/>
      </w:rPr>
    </w:lvl>
    <w:lvl w:ilvl="1">
      <w:start w:val="1"/>
      <w:numFmt w:val="decimal"/>
      <w:isLgl w:val="false"/>
      <w:suff w:val="tab"/>
      <w:lvlText w:val="%1.%2."/>
      <w:lvlJc w:val="left"/>
      <w:pPr>
        <w:ind w:left="1353" w:hanging="360"/>
        <w:tabs>
          <w:tab w:val="num" w:pos="1353" w:leader="none"/>
        </w:tabs>
      </w:pPr>
      <w:rPr>
        <w:rFonts w:hint="default" w:cs="Times New Roman"/>
        <w:b w:val="0"/>
        <w:i w:val="0"/>
        <w:sz w:val="28"/>
        <w:szCs w:val="28"/>
      </w:rPr>
    </w:lvl>
    <w:lvl w:ilvl="2">
      <w:start w:val="1"/>
      <w:numFmt w:val="decimal"/>
      <w:isLgl w:val="false"/>
      <w:suff w:val="tab"/>
      <w:lvlText w:val="%1.%2.%3."/>
      <w:lvlJc w:val="left"/>
      <w:pPr>
        <w:ind w:left="1440" w:hanging="720"/>
        <w:tabs>
          <w:tab w:val="num" w:pos="1440" w:leader="none"/>
        </w:tabs>
      </w:pPr>
      <w:rPr>
        <w:rFonts w:hint="default" w:cs="Times New Roman"/>
        <w:b w:val="0"/>
        <w:sz w:val="28"/>
        <w:szCs w:val="28"/>
      </w:rPr>
    </w:lvl>
    <w:lvl w:ilvl="3">
      <w:start w:val="1"/>
      <w:numFmt w:val="decimal"/>
      <w:isLgl w:val="false"/>
      <w:suff w:val="tab"/>
      <w:lvlText w:val="%1.%2.%3.%4."/>
      <w:lvlJc w:val="left"/>
      <w:pPr>
        <w:ind w:left="1800" w:hanging="720"/>
        <w:tabs>
          <w:tab w:val="num" w:pos="1800" w:leader="none"/>
        </w:tabs>
      </w:pPr>
      <w:rPr>
        <w:rFonts w:hint="default" w:cs="Times New Roman"/>
        <w:b w:val="0"/>
      </w:rPr>
    </w:lvl>
    <w:lvl w:ilvl="4">
      <w:start w:val="1"/>
      <w:numFmt w:val="decimal"/>
      <w:isLgl w:val="false"/>
      <w:suff w:val="tab"/>
      <w:lvlText w:val="%1.%2.%3.%4.%5."/>
      <w:lvlJc w:val="left"/>
      <w:pPr>
        <w:ind w:left="2520" w:hanging="1080"/>
        <w:tabs>
          <w:tab w:val="num" w:pos="2520" w:leader="none"/>
        </w:tabs>
      </w:pPr>
      <w:rPr>
        <w:rFonts w:hint="default" w:cs="Times New Roman"/>
      </w:rPr>
    </w:lvl>
    <w:lvl w:ilvl="5">
      <w:start w:val="1"/>
      <w:numFmt w:val="decimal"/>
      <w:isLgl w:val="false"/>
      <w:suff w:val="tab"/>
      <w:lvlText w:val="%1.%2.%3.%4.%5.%6."/>
      <w:lvlJc w:val="left"/>
      <w:pPr>
        <w:ind w:left="2880" w:hanging="1080"/>
        <w:tabs>
          <w:tab w:val="num" w:pos="2880" w:leader="none"/>
        </w:tabs>
      </w:pPr>
      <w:rPr>
        <w:rFonts w:hint="default" w:cs="Times New Roman"/>
      </w:rPr>
    </w:lvl>
    <w:lvl w:ilvl="6">
      <w:start w:val="1"/>
      <w:numFmt w:val="decimal"/>
      <w:isLgl w:val="false"/>
      <w:suff w:val="tab"/>
      <w:lvlText w:val="%1.%2.%3.%4.%5.%6.%7."/>
      <w:lvlJc w:val="left"/>
      <w:pPr>
        <w:ind w:left="3600" w:hanging="1440"/>
        <w:tabs>
          <w:tab w:val="num" w:pos="3600" w:leader="none"/>
        </w:tabs>
      </w:pPr>
      <w:rPr>
        <w:rFonts w:hint="default" w:cs="Times New Roman"/>
      </w:rPr>
    </w:lvl>
    <w:lvl w:ilvl="7">
      <w:start w:val="1"/>
      <w:numFmt w:val="decimal"/>
      <w:isLgl w:val="false"/>
      <w:suff w:val="tab"/>
      <w:lvlText w:val="%1.%2.%3.%4.%5.%6.%7.%8."/>
      <w:lvlJc w:val="left"/>
      <w:pPr>
        <w:ind w:left="3960" w:hanging="1440"/>
        <w:tabs>
          <w:tab w:val="num" w:pos="3960" w:leader="none"/>
        </w:tabs>
      </w:pPr>
      <w:rPr>
        <w:rFonts w:hint="default" w:cs="Times New Roman"/>
      </w:rPr>
    </w:lvl>
    <w:lvl w:ilvl="8">
      <w:start w:val="1"/>
      <w:numFmt w:val="decimal"/>
      <w:isLgl w:val="false"/>
      <w:suff w:val="tab"/>
      <w:lvlText w:val="%1.%2.%3.%4.%5.%6.%7.%8.%9."/>
      <w:lvlJc w:val="left"/>
      <w:pPr>
        <w:ind w:left="4680" w:hanging="1800"/>
        <w:tabs>
          <w:tab w:val="num" w:pos="4680" w:leader="none"/>
        </w:tabs>
      </w:pPr>
      <w:rPr>
        <w:rFonts w:hint="default" w:cs="Times New Roman"/>
      </w:rPr>
    </w:lvl>
  </w:abstractNum>
  <w:abstractNum w:abstractNumId="37">
    <w:multiLevelType w:val="hybridMultilevel"/>
    <w:styleLink w:val="1338"/>
    <w:lvl w:ilvl="0">
      <w:start w:val="1"/>
      <w:numFmt w:val="decimal"/>
      <w:pStyle w:val="1338"/>
      <w:isLgl w:val="false"/>
      <w:suff w:val="tab"/>
      <w:lvlText w:val="%1."/>
      <w:lvlJc w:val="left"/>
      <w:pPr>
        <w:ind w:left="432" w:firstLine="277"/>
        <w:tabs>
          <w:tab w:val="num" w:pos="1141" w:leader="none"/>
          <w:tab w:val="left" w:pos="1260" w:leader="none"/>
          <w:tab w:val="left" w:pos="1440" w:leader="none"/>
        </w:tabs>
      </w:pPr>
      <w:rPr>
        <w:rFonts w:hAnsi="Arial Unicode MS"/>
        <w:caps w:val="0"/>
        <w:smallCaps w:val="0"/>
        <w:strike w:val="0"/>
        <w:color w:val="000000"/>
        <w:spacing w:val="0"/>
        <w:position w:val="0"/>
        <w:highlight w:val="none"/>
        <w:vertAlign w:val="baseline"/>
      </w:rPr>
    </w:lvl>
    <w:lvl w:ilvl="1">
      <w:start w:val="1"/>
      <w:numFmt w:val="decimal"/>
      <w:isLgl w:val="false"/>
      <w:suff w:val="tab"/>
      <w:lvlText w:val="%2."/>
      <w:lvlJc w:val="left"/>
      <w:pPr>
        <w:ind w:left="551" w:firstLine="158"/>
        <w:tabs>
          <w:tab w:val="num" w:pos="1260" w:leader="none"/>
          <w:tab w:val="left" w:pos="1440" w:leader="none"/>
        </w:tabs>
      </w:pPr>
      <w:rPr>
        <w:rFonts w:hAnsi="Arial Unicode MS"/>
        <w:caps w:val="0"/>
        <w:smallCaps w:val="0"/>
        <w:strike w:val="0"/>
        <w:color w:val="000000"/>
        <w:spacing w:val="0"/>
        <w:position w:val="0"/>
        <w:highlight w:val="none"/>
        <w:vertAlign w:val="baseline"/>
      </w:rPr>
    </w:lvl>
    <w:lvl w:ilvl="2">
      <w:start w:val="1"/>
      <w:numFmt w:val="decimal"/>
      <w:isLgl w:val="false"/>
      <w:suff w:val="tab"/>
      <w:lvlText w:val="%2.%3."/>
      <w:lvlJc w:val="left"/>
      <w:pPr>
        <w:ind w:left="1069" w:firstLine="3"/>
        <w:tabs>
          <w:tab w:val="num" w:pos="1778" w:leader="none"/>
        </w:tabs>
      </w:pPr>
      <w:rPr>
        <w:rFonts w:hAnsi="Arial Unicode MS"/>
        <w:caps w:val="0"/>
        <w:smallCaps w:val="0"/>
        <w:strike w:val="0"/>
        <w:color w:val="000000"/>
        <w:spacing w:val="0"/>
        <w:position w:val="0"/>
        <w:highlight w:val="none"/>
        <w:vertAlign w:val="baseline"/>
      </w:rPr>
    </w:lvl>
    <w:lvl w:ilvl="3">
      <w:start w:val="1"/>
      <w:numFmt w:val="decimal"/>
      <w:isLgl w:val="false"/>
      <w:suff w:val="tab"/>
      <w:lvlText w:val="%2.%3.%4."/>
      <w:lvlJc w:val="left"/>
      <w:pPr>
        <w:ind w:left="1778" w:firstLine="4"/>
        <w:tabs>
          <w:tab w:val="left" w:pos="1260" w:leader="none"/>
          <w:tab w:val="left" w:pos="1440" w:leader="none"/>
          <w:tab w:val="num" w:pos="2487" w:leader="none"/>
        </w:tabs>
      </w:pPr>
      <w:rPr>
        <w:rFonts w:hAnsi="Arial Unicode MS"/>
        <w:caps w:val="0"/>
        <w:smallCaps w:val="0"/>
        <w:strike w:val="0"/>
        <w:color w:val="000000"/>
        <w:spacing w:val="0"/>
        <w:position w:val="0"/>
        <w:highlight w:val="none"/>
        <w:vertAlign w:val="baseline"/>
      </w:rPr>
    </w:lvl>
    <w:lvl w:ilvl="4">
      <w:start w:val="1"/>
      <w:numFmt w:val="decimal"/>
      <w:isLgl w:val="false"/>
      <w:suff w:val="tab"/>
      <w:lvlText w:val="%2.%3.%4.%5."/>
      <w:lvlJc w:val="left"/>
      <w:pPr>
        <w:ind w:left="2847" w:firstLine="5"/>
        <w:tabs>
          <w:tab w:val="left" w:pos="1260" w:leader="none"/>
          <w:tab w:val="left" w:pos="1440" w:leader="none"/>
          <w:tab w:val="num" w:pos="3556" w:leader="none"/>
        </w:tabs>
      </w:pPr>
      <w:rPr>
        <w:rFonts w:hAnsi="Arial Unicode MS"/>
        <w:caps w:val="0"/>
        <w:smallCaps w:val="0"/>
        <w:strike w:val="0"/>
        <w:color w:val="000000"/>
        <w:spacing w:val="0"/>
        <w:position w:val="0"/>
        <w:highlight w:val="none"/>
        <w:vertAlign w:val="baseline"/>
      </w:rPr>
    </w:lvl>
    <w:lvl w:ilvl="5">
      <w:start w:val="1"/>
      <w:numFmt w:val="decimal"/>
      <w:isLgl w:val="false"/>
      <w:suff w:val="tab"/>
      <w:lvlText w:val="%2.%3.%4.%5.%6."/>
      <w:lvlJc w:val="left"/>
      <w:pPr>
        <w:ind w:left="3556" w:firstLine="6"/>
        <w:tabs>
          <w:tab w:val="left" w:pos="1260" w:leader="none"/>
          <w:tab w:val="left" w:pos="1440" w:leader="none"/>
          <w:tab w:val="num" w:pos="4265" w:leader="none"/>
        </w:tabs>
      </w:pPr>
      <w:rPr>
        <w:rFonts w:hAnsi="Arial Unicode MS"/>
        <w:caps w:val="0"/>
        <w:smallCaps w:val="0"/>
        <w:strike w:val="0"/>
        <w:color w:val="000000"/>
        <w:spacing w:val="0"/>
        <w:position w:val="0"/>
        <w:highlight w:val="none"/>
        <w:vertAlign w:val="baseline"/>
      </w:rPr>
    </w:lvl>
    <w:lvl w:ilvl="6">
      <w:start w:val="1"/>
      <w:numFmt w:val="decimal"/>
      <w:isLgl w:val="false"/>
      <w:suff w:val="tab"/>
      <w:lvlText w:val="%2.%3.%4.%5.%6.%7."/>
      <w:lvlJc w:val="left"/>
      <w:pPr>
        <w:ind w:left="4625" w:firstLine="338"/>
        <w:tabs>
          <w:tab w:val="left" w:pos="1260" w:leader="none"/>
          <w:tab w:val="left" w:pos="1440" w:leader="none"/>
          <w:tab w:val="num" w:pos="5334" w:leader="none"/>
        </w:tabs>
      </w:pPr>
      <w:rPr>
        <w:rFonts w:hAnsi="Arial Unicode MS"/>
        <w:caps w:val="0"/>
        <w:smallCaps w:val="0"/>
        <w:strike w:val="0"/>
        <w:color w:val="000000"/>
        <w:spacing w:val="0"/>
        <w:position w:val="0"/>
        <w:highlight w:val="none"/>
        <w:vertAlign w:val="baseline"/>
      </w:rPr>
    </w:lvl>
    <w:lvl w:ilvl="7">
      <w:start w:val="1"/>
      <w:numFmt w:val="decimal"/>
      <w:isLgl w:val="false"/>
      <w:suff w:val="tab"/>
      <w:lvlText w:val="%2.%3.%4.%5.%6.%7.%8."/>
      <w:lvlJc w:val="left"/>
      <w:pPr>
        <w:ind w:left="5334" w:firstLine="338"/>
        <w:tabs>
          <w:tab w:val="left" w:pos="1260" w:leader="none"/>
          <w:tab w:val="left" w:pos="1440" w:leader="none"/>
          <w:tab w:val="num" w:pos="6043" w:leader="none"/>
        </w:tabs>
      </w:pPr>
      <w:rPr>
        <w:rFonts w:hAnsi="Arial Unicode MS"/>
        <w:caps w:val="0"/>
        <w:smallCaps w:val="0"/>
        <w:strike w:val="0"/>
        <w:color w:val="000000"/>
        <w:spacing w:val="0"/>
        <w:position w:val="0"/>
        <w:highlight w:val="none"/>
        <w:vertAlign w:val="baseline"/>
      </w:rPr>
    </w:lvl>
    <w:lvl w:ilvl="8">
      <w:start w:val="1"/>
      <w:numFmt w:val="decimal"/>
      <w:isLgl w:val="false"/>
      <w:suff w:val="tab"/>
      <w:lvlText w:val="%2.%3.%4.%5.%6.%7.%8.%9."/>
      <w:lvlJc w:val="left"/>
      <w:pPr>
        <w:ind w:left="6403" w:hanging="22"/>
        <w:tabs>
          <w:tab w:val="left" w:pos="1260" w:leader="none"/>
          <w:tab w:val="left" w:pos="1440" w:leader="none"/>
          <w:tab w:val="num" w:pos="7112" w:leader="none"/>
        </w:tabs>
      </w:pPr>
      <w:rPr>
        <w:rFonts w:hAnsi="Arial Unicode MS"/>
        <w:caps w:val="0"/>
        <w:smallCaps w:val="0"/>
        <w:strike w:val="0"/>
        <w:color w:val="000000"/>
        <w:spacing w:val="0"/>
        <w:position w:val="0"/>
        <w:highlight w:val="none"/>
        <w:vertAlign w:val="baseline"/>
      </w:rPr>
    </w:lvl>
  </w:abstractNum>
  <w:abstractNum w:abstractNumId="38">
    <w:multiLevelType w:val="hybridMultilevel"/>
    <w:lvl w:ilvl="0">
      <w:start w:val="1"/>
      <w:numFmt w:val="bullet"/>
      <w:isLgl w:val="false"/>
      <w:suff w:val="tab"/>
      <w:lvlText w:val="–"/>
      <w:lvlJc w:val="left"/>
      <w:pPr>
        <w:ind w:left="1418" w:hanging="360"/>
      </w:pPr>
      <w:rPr>
        <w:rFonts w:hint="default" w:ascii="Arial" w:hAnsi="Arial" w:eastAsia="Arial" w:cs="Arial"/>
      </w:rPr>
    </w:lvl>
    <w:lvl w:ilvl="1">
      <w:start w:val="1"/>
      <w:numFmt w:val="bullet"/>
      <w:isLgl w:val="false"/>
      <w:suff w:val="tab"/>
      <w:lvlText w:val="o"/>
      <w:lvlJc w:val="left"/>
      <w:pPr>
        <w:ind w:left="2138" w:hanging="360"/>
      </w:pPr>
      <w:rPr>
        <w:rFonts w:hint="default" w:ascii="Courier New" w:hAnsi="Courier New" w:eastAsia="Courier New" w:cs="Courier New"/>
      </w:rPr>
    </w:lvl>
    <w:lvl w:ilvl="2">
      <w:start w:val="1"/>
      <w:numFmt w:val="bullet"/>
      <w:isLgl w:val="false"/>
      <w:suff w:val="tab"/>
      <w:lvlText w:val="§"/>
      <w:lvlJc w:val="left"/>
      <w:pPr>
        <w:ind w:left="2858" w:hanging="360"/>
      </w:pPr>
      <w:rPr>
        <w:rFonts w:hint="default" w:ascii="Wingdings" w:hAnsi="Wingdings" w:eastAsia="Wingdings" w:cs="Wingdings"/>
      </w:rPr>
    </w:lvl>
    <w:lvl w:ilvl="3">
      <w:start w:val="1"/>
      <w:numFmt w:val="bullet"/>
      <w:isLgl w:val="false"/>
      <w:suff w:val="tab"/>
      <w:lvlText w:val="·"/>
      <w:lvlJc w:val="left"/>
      <w:pPr>
        <w:ind w:left="3578" w:hanging="360"/>
      </w:pPr>
      <w:rPr>
        <w:rFonts w:hint="default" w:ascii="Symbol" w:hAnsi="Symbol" w:eastAsia="Symbol" w:cs="Symbol"/>
      </w:rPr>
    </w:lvl>
    <w:lvl w:ilvl="4">
      <w:start w:val="1"/>
      <w:numFmt w:val="bullet"/>
      <w:isLgl w:val="false"/>
      <w:suff w:val="tab"/>
      <w:lvlText w:val="o"/>
      <w:lvlJc w:val="left"/>
      <w:pPr>
        <w:ind w:left="4298" w:hanging="360"/>
      </w:pPr>
      <w:rPr>
        <w:rFonts w:hint="default" w:ascii="Courier New" w:hAnsi="Courier New" w:eastAsia="Courier New" w:cs="Courier New"/>
      </w:rPr>
    </w:lvl>
    <w:lvl w:ilvl="5">
      <w:start w:val="1"/>
      <w:numFmt w:val="bullet"/>
      <w:isLgl w:val="false"/>
      <w:suff w:val="tab"/>
      <w:lvlText w:val="§"/>
      <w:lvlJc w:val="left"/>
      <w:pPr>
        <w:ind w:left="5018" w:hanging="360"/>
      </w:pPr>
      <w:rPr>
        <w:rFonts w:hint="default" w:ascii="Wingdings" w:hAnsi="Wingdings" w:eastAsia="Wingdings" w:cs="Wingdings"/>
      </w:rPr>
    </w:lvl>
    <w:lvl w:ilvl="6">
      <w:start w:val="1"/>
      <w:numFmt w:val="bullet"/>
      <w:isLgl w:val="false"/>
      <w:suff w:val="tab"/>
      <w:lvlText w:val="·"/>
      <w:lvlJc w:val="left"/>
      <w:pPr>
        <w:ind w:left="5738" w:hanging="360"/>
      </w:pPr>
      <w:rPr>
        <w:rFonts w:hint="default" w:ascii="Symbol" w:hAnsi="Symbol" w:eastAsia="Symbol" w:cs="Symbol"/>
      </w:rPr>
    </w:lvl>
    <w:lvl w:ilvl="7">
      <w:start w:val="1"/>
      <w:numFmt w:val="bullet"/>
      <w:isLgl w:val="false"/>
      <w:suff w:val="tab"/>
      <w:lvlText w:val="o"/>
      <w:lvlJc w:val="left"/>
      <w:pPr>
        <w:ind w:left="6458" w:hanging="360"/>
      </w:pPr>
      <w:rPr>
        <w:rFonts w:hint="default" w:ascii="Courier New" w:hAnsi="Courier New" w:eastAsia="Courier New" w:cs="Courier New"/>
      </w:rPr>
    </w:lvl>
    <w:lvl w:ilvl="8">
      <w:start w:val="1"/>
      <w:numFmt w:val="bullet"/>
      <w:isLgl w:val="false"/>
      <w:suff w:val="tab"/>
      <w:lvlText w:val="§"/>
      <w:lvlJc w:val="left"/>
      <w:pPr>
        <w:ind w:left="7178" w:hanging="360"/>
      </w:pPr>
      <w:rPr>
        <w:rFonts w:hint="default" w:ascii="Wingdings" w:hAnsi="Wingdings" w:eastAsia="Wingdings" w:cs="Wingdings"/>
      </w:rPr>
    </w:lvl>
  </w:abstractNum>
  <w:abstractNum w:abstractNumId="39">
    <w:multiLevelType w:val="hybridMultilevel"/>
    <w:lvl w:ilvl="0">
      <w:start w:val="1"/>
      <w:numFmt w:val="decimal"/>
      <w:isLgl w:val="false"/>
      <w:suff w:val="space"/>
      <w:lvlText w:val="%1."/>
      <w:lvlJc w:val="left"/>
      <w:pPr>
        <w:ind w:left="-141" w:firstLine="709"/>
      </w:pPr>
      <w:rPr>
        <w:b/>
        <w:i w:val="0"/>
      </w:rPr>
    </w:lvl>
    <w:lvl w:ilvl="1">
      <w:start w:val="1"/>
      <w:numFmt w:val="decimal"/>
      <w:isLgl w:val="false"/>
      <w:suff w:val="space"/>
      <w:lvlText w:val="%1.%2."/>
      <w:lvlJc w:val="left"/>
      <w:pPr>
        <w:ind w:left="0" w:firstLine="709"/>
      </w:pPr>
      <w:rPr>
        <w:i w:val="0"/>
      </w:rPr>
    </w:lvl>
    <w:lvl w:ilvl="2">
      <w:start w:val="1"/>
      <w:numFmt w:val="decimal"/>
      <w:isLgl w:val="false"/>
      <w:suff w:val="tab"/>
      <w:lvlText w:val="%1.%2.%3."/>
      <w:lvlJc w:val="left"/>
      <w:pPr>
        <w:ind w:left="1224" w:hanging="504"/>
      </w:pPr>
    </w:lvl>
    <w:lvl w:ilvl="3">
      <w:start w:val="1"/>
      <w:numFmt w:val="decimal"/>
      <w:isLgl w:val="false"/>
      <w:suff w:val="tab"/>
      <w:lvlText w:val="%1.%2.%3.%4."/>
      <w:lvlJc w:val="left"/>
      <w:pPr>
        <w:ind w:left="1728" w:hanging="648"/>
      </w:pPr>
    </w:lvl>
    <w:lvl w:ilvl="4">
      <w:start w:val="1"/>
      <w:numFmt w:val="decimal"/>
      <w:isLgl w:val="false"/>
      <w:suff w:val="tab"/>
      <w:lvlText w:val="%1.%2.%3.%4.%5."/>
      <w:lvlJc w:val="left"/>
      <w:pPr>
        <w:ind w:left="2232" w:hanging="792"/>
      </w:pPr>
    </w:lvl>
    <w:lvl w:ilvl="5">
      <w:start w:val="1"/>
      <w:numFmt w:val="decimal"/>
      <w:isLgl w:val="false"/>
      <w:suff w:val="tab"/>
      <w:lvlText w:val="%1.%2.%3.%4.%5.%6."/>
      <w:lvlJc w:val="left"/>
      <w:pPr>
        <w:ind w:left="2736" w:hanging="936"/>
      </w:pPr>
    </w:lvl>
    <w:lvl w:ilvl="6">
      <w:start w:val="1"/>
      <w:numFmt w:val="decimal"/>
      <w:isLgl w:val="false"/>
      <w:suff w:val="tab"/>
      <w:lvlText w:val="%1.%2.%3.%4.%5.%6.%7."/>
      <w:lvlJc w:val="left"/>
      <w:pPr>
        <w:ind w:left="3240" w:hanging="1080"/>
      </w:pPr>
    </w:lvl>
    <w:lvl w:ilvl="7">
      <w:start w:val="1"/>
      <w:numFmt w:val="decimal"/>
      <w:isLgl w:val="false"/>
      <w:suff w:val="tab"/>
      <w:lvlText w:val="%1.%2.%3.%4.%5.%6.%7.%8."/>
      <w:lvlJc w:val="left"/>
      <w:pPr>
        <w:ind w:left="3744" w:hanging="1224"/>
      </w:pPr>
    </w:lvl>
    <w:lvl w:ilvl="8">
      <w:start w:val="1"/>
      <w:numFmt w:val="decimal"/>
      <w:isLgl w:val="false"/>
      <w:suff w:val="tab"/>
      <w:lvlText w:val="%1.%2.%3.%4.%5.%6.%7.%8.%9."/>
      <w:lvlJc w:val="left"/>
      <w:pPr>
        <w:ind w:left="4320" w:hanging="1440"/>
      </w:pPr>
    </w:lvl>
  </w:abstractNum>
  <w:abstractNum w:abstractNumId="40">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41">
    <w:multiLevelType w:val="hybridMultilevel"/>
    <w:styleLink w:val="1384"/>
    <w:lvl w:ilvl="0">
      <w:start w:val="1"/>
      <w:numFmt w:val="decimal"/>
      <w:pStyle w:val="1384"/>
      <w:isLgl w:val="false"/>
      <w:suff w:val="tab"/>
      <w:lvlText w:val="%1)"/>
      <w:lvlJc w:val="left"/>
      <w:pPr>
        <w:ind w:left="371" w:firstLine="338"/>
        <w:tabs>
          <w:tab w:val="left" w:pos="360" w:leader="none"/>
          <w:tab w:val="num" w:pos="1080" w:leader="none"/>
        </w:tabs>
      </w:pPr>
      <w:rPr>
        <w:rFonts w:hAnsi="Arial Unicode MS"/>
        <w:caps w:val="0"/>
        <w:smallCaps w:val="0"/>
        <w:strike w:val="0"/>
        <w:color w:val="000000"/>
        <w:spacing w:val="0"/>
        <w:position w:val="0"/>
        <w:highlight w:val="none"/>
        <w:vertAlign w:val="baseline"/>
      </w:rPr>
    </w:lvl>
    <w:lvl w:ilvl="1">
      <w:start w:val="1"/>
      <w:numFmt w:val="lowerLetter"/>
      <w:isLgl w:val="false"/>
      <w:suff w:val="tab"/>
      <w:lvlText w:val="%2."/>
      <w:lvlJc w:val="left"/>
      <w:pPr>
        <w:ind w:left="1080" w:firstLine="374"/>
        <w:tabs>
          <w:tab w:val="left" w:pos="360" w:leader="none"/>
          <w:tab w:val="left" w:pos="1080" w:leader="none"/>
          <w:tab w:val="num" w:pos="1789" w:leader="none"/>
        </w:tabs>
      </w:pPr>
      <w:rPr>
        <w:rFonts w:hAnsi="Arial Unicode MS"/>
        <w:caps w:val="0"/>
        <w:smallCaps w:val="0"/>
        <w:strike w:val="0"/>
        <w:color w:val="000000"/>
        <w:spacing w:val="0"/>
        <w:position w:val="0"/>
        <w:highlight w:val="none"/>
        <w:vertAlign w:val="baseline"/>
      </w:rPr>
    </w:lvl>
    <w:lvl w:ilvl="2">
      <w:start w:val="1"/>
      <w:numFmt w:val="lowerRoman"/>
      <w:isLgl w:val="false"/>
      <w:suff w:val="tab"/>
      <w:lvlText w:val="%3."/>
      <w:lvlJc w:val="left"/>
      <w:pPr>
        <w:ind w:left="1800" w:firstLine="461"/>
        <w:tabs>
          <w:tab w:val="left" w:pos="360" w:leader="none"/>
          <w:tab w:val="left" w:pos="1080" w:leader="none"/>
          <w:tab w:val="num" w:pos="2509" w:leader="none"/>
        </w:tabs>
      </w:pPr>
      <w:rPr>
        <w:rFonts w:hAnsi="Arial Unicode MS"/>
        <w:caps w:val="0"/>
        <w:smallCaps w:val="0"/>
        <w:strike w:val="0"/>
        <w:color w:val="000000"/>
        <w:spacing w:val="0"/>
        <w:position w:val="0"/>
        <w:highlight w:val="none"/>
        <w:vertAlign w:val="baseline"/>
      </w:rPr>
    </w:lvl>
    <w:lvl w:ilvl="3">
      <w:start w:val="1"/>
      <w:numFmt w:val="decimal"/>
      <w:isLgl w:val="false"/>
      <w:suff w:val="tab"/>
      <w:lvlText w:val="%4."/>
      <w:lvlJc w:val="left"/>
      <w:pPr>
        <w:ind w:left="2520" w:firstLine="398"/>
        <w:tabs>
          <w:tab w:val="left" w:pos="360" w:leader="none"/>
          <w:tab w:val="left" w:pos="1080" w:leader="none"/>
          <w:tab w:val="num" w:pos="3229" w:leader="none"/>
        </w:tabs>
      </w:pPr>
      <w:rPr>
        <w:rFonts w:hAnsi="Arial Unicode MS"/>
        <w:caps w:val="0"/>
        <w:smallCaps w:val="0"/>
        <w:strike w:val="0"/>
        <w:color w:val="000000"/>
        <w:spacing w:val="0"/>
        <w:position w:val="0"/>
        <w:highlight w:val="none"/>
        <w:vertAlign w:val="baseline"/>
      </w:rPr>
    </w:lvl>
    <w:lvl w:ilvl="4">
      <w:start w:val="1"/>
      <w:numFmt w:val="lowerLetter"/>
      <w:isLgl w:val="false"/>
      <w:suff w:val="tab"/>
      <w:lvlText w:val="%5."/>
      <w:lvlJc w:val="left"/>
      <w:pPr>
        <w:ind w:left="3240" w:firstLine="410"/>
        <w:tabs>
          <w:tab w:val="left" w:pos="360" w:leader="none"/>
          <w:tab w:val="left" w:pos="1080" w:leader="none"/>
          <w:tab w:val="num" w:pos="3949" w:leader="none"/>
        </w:tabs>
      </w:pPr>
      <w:rPr>
        <w:rFonts w:hAnsi="Arial Unicode MS"/>
        <w:caps w:val="0"/>
        <w:smallCaps w:val="0"/>
        <w:strike w:val="0"/>
        <w:color w:val="000000"/>
        <w:spacing w:val="0"/>
        <w:position w:val="0"/>
        <w:highlight w:val="none"/>
        <w:vertAlign w:val="baseline"/>
      </w:rPr>
    </w:lvl>
    <w:lvl w:ilvl="5">
      <w:start w:val="1"/>
      <w:numFmt w:val="lowerRoman"/>
      <w:isLgl w:val="false"/>
      <w:suff w:val="tab"/>
      <w:lvlText w:val="%6."/>
      <w:lvlJc w:val="left"/>
      <w:pPr>
        <w:ind w:left="3960" w:firstLine="497"/>
        <w:tabs>
          <w:tab w:val="left" w:pos="360" w:leader="none"/>
          <w:tab w:val="left" w:pos="1080" w:leader="none"/>
          <w:tab w:val="num" w:pos="4669" w:leader="none"/>
        </w:tabs>
      </w:pPr>
      <w:rPr>
        <w:rFonts w:hAnsi="Arial Unicode MS"/>
        <w:caps w:val="0"/>
        <w:smallCaps w:val="0"/>
        <w:strike w:val="0"/>
        <w:color w:val="000000"/>
        <w:spacing w:val="0"/>
        <w:position w:val="0"/>
        <w:highlight w:val="none"/>
        <w:vertAlign w:val="baseline"/>
      </w:rPr>
    </w:lvl>
    <w:lvl w:ilvl="6">
      <w:start w:val="1"/>
      <w:numFmt w:val="decimal"/>
      <w:isLgl w:val="false"/>
      <w:suff w:val="tab"/>
      <w:lvlText w:val="%7."/>
      <w:lvlJc w:val="left"/>
      <w:pPr>
        <w:ind w:left="4680" w:firstLine="434"/>
        <w:tabs>
          <w:tab w:val="left" w:pos="360" w:leader="none"/>
          <w:tab w:val="left" w:pos="1080" w:leader="none"/>
          <w:tab w:val="num" w:pos="5389" w:leader="none"/>
        </w:tabs>
      </w:pPr>
      <w:rPr>
        <w:rFonts w:hAnsi="Arial Unicode MS"/>
        <w:caps w:val="0"/>
        <w:smallCaps w:val="0"/>
        <w:strike w:val="0"/>
        <w:color w:val="000000"/>
        <w:spacing w:val="0"/>
        <w:position w:val="0"/>
        <w:highlight w:val="none"/>
        <w:vertAlign w:val="baseline"/>
      </w:rPr>
    </w:lvl>
    <w:lvl w:ilvl="7">
      <w:start w:val="1"/>
      <w:numFmt w:val="lowerLetter"/>
      <w:isLgl w:val="false"/>
      <w:suff w:val="tab"/>
      <w:lvlText w:val="%8."/>
      <w:lvlJc w:val="left"/>
      <w:pPr>
        <w:ind w:left="5400" w:firstLine="446"/>
        <w:tabs>
          <w:tab w:val="left" w:pos="360" w:leader="none"/>
          <w:tab w:val="left" w:pos="1080" w:leader="none"/>
          <w:tab w:val="num" w:pos="6109" w:leader="none"/>
        </w:tabs>
      </w:pPr>
      <w:rPr>
        <w:rFonts w:hAnsi="Arial Unicode MS"/>
        <w:caps w:val="0"/>
        <w:smallCaps w:val="0"/>
        <w:strike w:val="0"/>
        <w:color w:val="000000"/>
        <w:spacing w:val="0"/>
        <w:position w:val="0"/>
        <w:highlight w:val="none"/>
        <w:vertAlign w:val="baseline"/>
      </w:rPr>
    </w:lvl>
    <w:lvl w:ilvl="8">
      <w:start w:val="1"/>
      <w:numFmt w:val="lowerRoman"/>
      <w:isLgl w:val="false"/>
      <w:suff w:val="tab"/>
      <w:lvlText w:val="%9."/>
      <w:lvlJc w:val="left"/>
      <w:pPr>
        <w:ind w:left="6120" w:firstLine="533"/>
        <w:tabs>
          <w:tab w:val="left" w:pos="360" w:leader="none"/>
          <w:tab w:val="left" w:pos="1080" w:leader="none"/>
          <w:tab w:val="num" w:pos="6829" w:leader="none"/>
        </w:tabs>
      </w:pPr>
      <w:rPr>
        <w:rFonts w:hAnsi="Arial Unicode MS"/>
        <w:caps w:val="0"/>
        <w:smallCaps w:val="0"/>
        <w:strike w:val="0"/>
        <w:color w:val="000000"/>
        <w:spacing w:val="0"/>
        <w:position w:val="0"/>
        <w:highlight w:val="none"/>
        <w:vertAlign w:val="baseline"/>
      </w:rPr>
    </w:lvl>
  </w:abstractNum>
  <w:abstractNum w:abstractNumId="42">
    <w:multiLevelType w:val="hybridMultilevel"/>
    <w:styleLink w:val="1376"/>
    <w:lvl w:ilvl="0">
      <w:start w:val="1"/>
      <w:numFmt w:val="bullet"/>
      <w:pStyle w:val="1376"/>
      <w:isLgl w:val="false"/>
      <w:suff w:val="tab"/>
      <w:lvlText w:val="•"/>
      <w:lvlJc w:val="left"/>
      <w:pPr>
        <w:ind w:left="425" w:firstLine="284"/>
        <w:tabs>
          <w:tab w:val="num" w:pos="1134" w:leader="none"/>
        </w:tabs>
      </w:pPr>
      <w:rPr>
        <w:rFonts w:ascii="Symbol" w:hAnsi="Symbol" w:eastAsia="Symbol" w:cs="Symbol"/>
        <w:b w:val="0"/>
        <w:bCs w:val="0"/>
        <w:i w:val="0"/>
        <w:iCs w:val="0"/>
        <w:caps w:val="0"/>
        <w:smallCaps w:val="0"/>
        <w:strike w:val="0"/>
        <w:color w:val="000000"/>
        <w:spacing w:val="0"/>
        <w:position w:val="0"/>
        <w:highlight w:val="none"/>
        <w:vertAlign w:val="baseline"/>
      </w:rPr>
    </w:lvl>
    <w:lvl w:ilvl="1">
      <w:start w:val="1"/>
      <w:numFmt w:val="bullet"/>
      <w:isLgl w:val="false"/>
      <w:suff w:val="tab"/>
      <w:lvlText w:val="o"/>
      <w:lvlJc w:val="left"/>
      <w:pPr>
        <w:ind w:left="1145" w:hanging="436"/>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lvl w:ilvl="2">
      <w:start w:val="1"/>
      <w:numFmt w:val="bullet"/>
      <w:isLgl w:val="false"/>
      <w:suff w:val="tab"/>
      <w:lvlText w:val="▪"/>
      <w:lvlJc w:val="left"/>
      <w:pPr>
        <w:ind w:left="1440" w:hanging="436"/>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lvl w:ilvl="3">
      <w:start w:val="1"/>
      <w:numFmt w:val="bullet"/>
      <w:isLgl w:val="false"/>
      <w:suff w:val="tab"/>
      <w:lvlText w:val="•"/>
      <w:lvlJc w:val="left"/>
      <w:pPr>
        <w:ind w:left="2160" w:hanging="436"/>
        <w:tabs>
          <w:tab w:val="left" w:pos="1134" w:leader="none"/>
        </w:tabs>
      </w:pPr>
      <w:rPr>
        <w:rFonts w:ascii="Symbol" w:hAnsi="Symbol" w:eastAsia="Symbol" w:cs="Symbol"/>
        <w:b w:val="0"/>
        <w:bCs w:val="0"/>
        <w:i w:val="0"/>
        <w:iCs w:val="0"/>
        <w:caps w:val="0"/>
        <w:smallCaps w:val="0"/>
        <w:strike w:val="0"/>
        <w:color w:val="000000"/>
        <w:spacing w:val="0"/>
        <w:position w:val="0"/>
        <w:highlight w:val="none"/>
        <w:vertAlign w:val="baseline"/>
      </w:rPr>
    </w:lvl>
    <w:lvl w:ilvl="4">
      <w:start w:val="1"/>
      <w:numFmt w:val="bullet"/>
      <w:isLgl w:val="false"/>
      <w:suff w:val="tab"/>
      <w:lvlText w:val="o"/>
      <w:lvlJc w:val="left"/>
      <w:pPr>
        <w:ind w:left="2880" w:hanging="436"/>
        <w:tabs>
          <w:tab w:val="left" w:pos="1134" w:leader="none"/>
        </w:tabs>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lvl w:ilvl="5">
      <w:start w:val="1"/>
      <w:numFmt w:val="bullet"/>
      <w:isLgl w:val="false"/>
      <w:suff w:val="tab"/>
      <w:lvlText w:val="▪"/>
      <w:lvlJc w:val="left"/>
      <w:pPr>
        <w:ind w:left="3600" w:hanging="436"/>
        <w:tabs>
          <w:tab w:val="left" w:pos="1134" w:leader="none"/>
        </w:tabs>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lvl w:ilvl="6">
      <w:start w:val="1"/>
      <w:numFmt w:val="bullet"/>
      <w:isLgl w:val="false"/>
      <w:suff w:val="tab"/>
      <w:lvlText w:val="•"/>
      <w:lvlJc w:val="left"/>
      <w:pPr>
        <w:ind w:left="4320" w:hanging="436"/>
        <w:tabs>
          <w:tab w:val="left" w:pos="1134" w:leader="none"/>
        </w:tabs>
      </w:pPr>
      <w:rPr>
        <w:rFonts w:ascii="Symbol" w:hAnsi="Symbol" w:eastAsia="Symbol" w:cs="Symbol"/>
        <w:b w:val="0"/>
        <w:bCs w:val="0"/>
        <w:i w:val="0"/>
        <w:iCs w:val="0"/>
        <w:caps w:val="0"/>
        <w:smallCaps w:val="0"/>
        <w:strike w:val="0"/>
        <w:color w:val="000000"/>
        <w:spacing w:val="0"/>
        <w:position w:val="0"/>
        <w:highlight w:val="none"/>
        <w:vertAlign w:val="baseline"/>
      </w:rPr>
    </w:lvl>
    <w:lvl w:ilvl="7">
      <w:start w:val="1"/>
      <w:numFmt w:val="bullet"/>
      <w:isLgl w:val="false"/>
      <w:suff w:val="tab"/>
      <w:lvlText w:val="o"/>
      <w:lvlJc w:val="left"/>
      <w:pPr>
        <w:ind w:left="5040" w:hanging="436"/>
        <w:tabs>
          <w:tab w:val="left" w:pos="1134" w:leader="none"/>
        </w:tabs>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lvl w:ilvl="8">
      <w:start w:val="1"/>
      <w:numFmt w:val="bullet"/>
      <w:isLgl w:val="false"/>
      <w:suff w:val="tab"/>
      <w:lvlText w:val="▪"/>
      <w:lvlJc w:val="left"/>
      <w:pPr>
        <w:ind w:left="5760" w:hanging="436"/>
        <w:tabs>
          <w:tab w:val="left" w:pos="1134" w:leader="none"/>
        </w:tabs>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abstractNum>
  <w:abstractNum w:abstractNumId="43">
    <w:multiLevelType w:val="hybridMultilevel"/>
    <w:styleLink w:val="1378"/>
    <w:lvl w:ilvl="0">
      <w:start w:val="1"/>
      <w:numFmt w:val="decimal"/>
      <w:pStyle w:val="1378"/>
      <w:isLgl w:val="false"/>
      <w:suff w:val="tab"/>
      <w:lvlText w:val="%1."/>
      <w:lvlJc w:val="left"/>
      <w:pPr>
        <w:ind w:left="371" w:firstLine="338"/>
        <w:tabs>
          <w:tab w:val="left" w:pos="360" w:leader="none"/>
          <w:tab w:val="num" w:pos="1080" w:leader="none"/>
        </w:tabs>
      </w:pPr>
      <w:rPr>
        <w:rFonts w:hAnsi="Arial Unicode MS"/>
        <w:caps w:val="0"/>
        <w:smallCaps w:val="0"/>
        <w:strike w:val="0"/>
        <w:color w:val="000000"/>
        <w:spacing w:val="0"/>
        <w:position w:val="0"/>
        <w:highlight w:val="none"/>
        <w:vertAlign w:val="baseline"/>
      </w:rPr>
    </w:lvl>
    <w:lvl w:ilvl="1">
      <w:start w:val="1"/>
      <w:numFmt w:val="lowerLetter"/>
      <w:isLgl w:val="false"/>
      <w:suff w:val="tab"/>
      <w:lvlText w:val="%2."/>
      <w:lvlJc w:val="left"/>
      <w:pPr>
        <w:ind w:left="720" w:firstLine="338"/>
        <w:tabs>
          <w:tab w:val="left" w:pos="360" w:leader="none"/>
          <w:tab w:val="left" w:pos="1080" w:leader="none"/>
          <w:tab w:val="num" w:pos="1429" w:leader="none"/>
        </w:tabs>
      </w:pPr>
      <w:rPr>
        <w:rFonts w:hAnsi="Arial Unicode MS"/>
        <w:caps w:val="0"/>
        <w:smallCaps w:val="0"/>
        <w:strike w:val="0"/>
        <w:color w:val="000000"/>
        <w:spacing w:val="0"/>
        <w:position w:val="0"/>
        <w:highlight w:val="none"/>
        <w:vertAlign w:val="baseline"/>
      </w:rPr>
    </w:lvl>
    <w:lvl w:ilvl="2">
      <w:start w:val="1"/>
      <w:numFmt w:val="lowerRoman"/>
      <w:isLgl w:val="false"/>
      <w:suff w:val="tab"/>
      <w:lvlText w:val="%3."/>
      <w:lvlJc w:val="left"/>
      <w:pPr>
        <w:ind w:left="1440" w:firstLine="413"/>
        <w:tabs>
          <w:tab w:val="left" w:pos="360" w:leader="none"/>
          <w:tab w:val="left" w:pos="1080" w:leader="none"/>
          <w:tab w:val="num" w:pos="2149" w:leader="none"/>
        </w:tabs>
      </w:pPr>
      <w:rPr>
        <w:rFonts w:hAnsi="Arial Unicode MS"/>
        <w:caps w:val="0"/>
        <w:smallCaps w:val="0"/>
        <w:strike w:val="0"/>
        <w:color w:val="000000"/>
        <w:spacing w:val="0"/>
        <w:position w:val="0"/>
        <w:highlight w:val="none"/>
        <w:vertAlign w:val="baseline"/>
      </w:rPr>
    </w:lvl>
    <w:lvl w:ilvl="3">
      <w:start w:val="1"/>
      <w:numFmt w:val="decimal"/>
      <w:isLgl w:val="false"/>
      <w:suff w:val="tab"/>
      <w:lvlText w:val="%4."/>
      <w:lvlJc w:val="left"/>
      <w:pPr>
        <w:ind w:left="2160" w:firstLine="338"/>
        <w:tabs>
          <w:tab w:val="left" w:pos="360" w:leader="none"/>
          <w:tab w:val="left" w:pos="1080" w:leader="none"/>
          <w:tab w:val="num" w:pos="2869" w:leader="none"/>
        </w:tabs>
      </w:pPr>
      <w:rPr>
        <w:rFonts w:hAnsi="Arial Unicode MS"/>
        <w:caps w:val="0"/>
        <w:smallCaps w:val="0"/>
        <w:strike w:val="0"/>
        <w:color w:val="000000"/>
        <w:spacing w:val="0"/>
        <w:position w:val="0"/>
        <w:highlight w:val="none"/>
        <w:vertAlign w:val="baseline"/>
      </w:rPr>
    </w:lvl>
    <w:lvl w:ilvl="4">
      <w:start w:val="1"/>
      <w:numFmt w:val="lowerLetter"/>
      <w:isLgl w:val="false"/>
      <w:suff w:val="tab"/>
      <w:lvlText w:val="%5."/>
      <w:lvlJc w:val="left"/>
      <w:pPr>
        <w:ind w:left="2880" w:firstLine="338"/>
        <w:tabs>
          <w:tab w:val="left" w:pos="360" w:leader="none"/>
          <w:tab w:val="left" w:pos="1080" w:leader="none"/>
          <w:tab w:val="num" w:pos="3589" w:leader="none"/>
        </w:tabs>
      </w:pPr>
      <w:rPr>
        <w:rFonts w:hAnsi="Arial Unicode MS"/>
        <w:caps w:val="0"/>
        <w:smallCaps w:val="0"/>
        <w:strike w:val="0"/>
        <w:color w:val="000000"/>
        <w:spacing w:val="0"/>
        <w:position w:val="0"/>
        <w:highlight w:val="none"/>
        <w:vertAlign w:val="baseline"/>
      </w:rPr>
    </w:lvl>
    <w:lvl w:ilvl="5">
      <w:start w:val="1"/>
      <w:numFmt w:val="lowerRoman"/>
      <w:isLgl w:val="false"/>
      <w:suff w:val="tab"/>
      <w:lvlText w:val="%6."/>
      <w:lvlJc w:val="left"/>
      <w:pPr>
        <w:ind w:left="3600" w:firstLine="413"/>
        <w:tabs>
          <w:tab w:val="left" w:pos="360" w:leader="none"/>
          <w:tab w:val="left" w:pos="1080" w:leader="none"/>
          <w:tab w:val="num" w:pos="4309" w:leader="none"/>
        </w:tabs>
      </w:pPr>
      <w:rPr>
        <w:rFonts w:hAnsi="Arial Unicode MS"/>
        <w:caps w:val="0"/>
        <w:smallCaps w:val="0"/>
        <w:strike w:val="0"/>
        <w:color w:val="000000"/>
        <w:spacing w:val="0"/>
        <w:position w:val="0"/>
        <w:highlight w:val="none"/>
        <w:vertAlign w:val="baseline"/>
      </w:rPr>
    </w:lvl>
    <w:lvl w:ilvl="6">
      <w:start w:val="1"/>
      <w:numFmt w:val="decimal"/>
      <w:isLgl w:val="false"/>
      <w:suff w:val="tab"/>
      <w:lvlText w:val="%7."/>
      <w:lvlJc w:val="left"/>
      <w:pPr>
        <w:ind w:left="4320" w:firstLine="338"/>
        <w:tabs>
          <w:tab w:val="left" w:pos="360" w:leader="none"/>
          <w:tab w:val="left" w:pos="1080" w:leader="none"/>
          <w:tab w:val="num" w:pos="5029" w:leader="none"/>
        </w:tabs>
      </w:pPr>
      <w:rPr>
        <w:rFonts w:hAnsi="Arial Unicode MS"/>
        <w:caps w:val="0"/>
        <w:smallCaps w:val="0"/>
        <w:strike w:val="0"/>
        <w:color w:val="000000"/>
        <w:spacing w:val="0"/>
        <w:position w:val="0"/>
        <w:highlight w:val="none"/>
        <w:vertAlign w:val="baseline"/>
      </w:rPr>
    </w:lvl>
    <w:lvl w:ilvl="7">
      <w:start w:val="1"/>
      <w:numFmt w:val="lowerLetter"/>
      <w:isLgl w:val="false"/>
      <w:suff w:val="tab"/>
      <w:lvlText w:val="%8."/>
      <w:lvlJc w:val="left"/>
      <w:pPr>
        <w:ind w:left="5040" w:firstLine="338"/>
        <w:tabs>
          <w:tab w:val="left" w:pos="360" w:leader="none"/>
          <w:tab w:val="left" w:pos="1080" w:leader="none"/>
          <w:tab w:val="num" w:pos="5749" w:leader="none"/>
        </w:tabs>
      </w:pPr>
      <w:rPr>
        <w:rFonts w:hAnsi="Arial Unicode MS"/>
        <w:caps w:val="0"/>
        <w:smallCaps w:val="0"/>
        <w:strike w:val="0"/>
        <w:color w:val="000000"/>
        <w:spacing w:val="0"/>
        <w:position w:val="0"/>
        <w:highlight w:val="none"/>
        <w:vertAlign w:val="baseline"/>
      </w:rPr>
    </w:lvl>
    <w:lvl w:ilvl="8">
      <w:start w:val="1"/>
      <w:numFmt w:val="lowerRoman"/>
      <w:isLgl w:val="false"/>
      <w:suff w:val="tab"/>
      <w:lvlText w:val="%9."/>
      <w:lvlJc w:val="left"/>
      <w:pPr>
        <w:ind w:left="5760" w:firstLine="413"/>
        <w:tabs>
          <w:tab w:val="left" w:pos="360" w:leader="none"/>
          <w:tab w:val="left" w:pos="1080" w:leader="none"/>
          <w:tab w:val="num" w:pos="6469" w:leader="none"/>
        </w:tabs>
      </w:pPr>
      <w:rPr>
        <w:rFonts w:hAnsi="Arial Unicode MS"/>
        <w:caps w:val="0"/>
        <w:smallCaps w:val="0"/>
        <w:strike w:val="0"/>
        <w:color w:val="000000"/>
        <w:spacing w:val="0"/>
        <w:position w:val="0"/>
        <w:highlight w:val="none"/>
        <w:vertAlign w:val="baseline"/>
      </w:rPr>
    </w:lvl>
  </w:abstractNum>
  <w:abstractNum w:abstractNumId="44">
    <w:multiLevelType w:val="hybridMultilevel"/>
    <w:lvl w:ilvl="0">
      <w:start w:val="1"/>
      <w:numFmt w:val="bullet"/>
      <w:isLgl w:val="false"/>
      <w:suff w:val="tab"/>
      <w:lvlText w:val="*"/>
      <w:lvlJc w:val="left"/>
      <w:pPr>
        <w:ind w:left="0" w:firstLine="0"/>
      </w:pPr>
    </w:lvl>
    <w:lvl w:ilvl="1">
      <w:start w:val="1"/>
      <w:numFmt w:val="bullet"/>
      <w:isLgl w:val="false"/>
      <w:suff w:val="tab"/>
      <w:lvlText w:val="o"/>
      <w:lvlJc w:val="left"/>
      <w:pPr>
        <w:ind w:left="1440" w:hanging="360"/>
      </w:pPr>
      <w:rPr>
        <w:rFonts w:hint="default" w:ascii="Courier New" w:hAnsi="Courier New" w:eastAsia="Courier New" w:cs="Courier New"/>
      </w:rPr>
    </w:lvl>
    <w:lvl w:ilvl="2">
      <w:start w:val="1"/>
      <w:numFmt w:val="bullet"/>
      <w:isLgl w:val="false"/>
      <w:suff w:val="tab"/>
      <w:lvlText w:val="§"/>
      <w:lvlJc w:val="left"/>
      <w:pPr>
        <w:ind w:left="2160" w:hanging="360"/>
      </w:pPr>
      <w:rPr>
        <w:rFonts w:hint="default" w:ascii="Wingdings" w:hAnsi="Wingdings" w:eastAsia="Wingdings" w:cs="Wingdings"/>
      </w:rPr>
    </w:lvl>
    <w:lvl w:ilvl="3">
      <w:start w:val="1"/>
      <w:numFmt w:val="bullet"/>
      <w:isLgl w:val="false"/>
      <w:suff w:val="tab"/>
      <w:lvlText w:val="·"/>
      <w:lvlJc w:val="left"/>
      <w:pPr>
        <w:ind w:left="2880" w:hanging="360"/>
      </w:pPr>
      <w:rPr>
        <w:rFonts w:hint="default" w:ascii="Symbol" w:hAnsi="Symbol" w:eastAsia="Symbol" w:cs="Symbol"/>
      </w:rPr>
    </w:lvl>
    <w:lvl w:ilvl="4">
      <w:start w:val="1"/>
      <w:numFmt w:val="bullet"/>
      <w:isLgl w:val="false"/>
      <w:suff w:val="tab"/>
      <w:lvlText w:val="o"/>
      <w:lvlJc w:val="left"/>
      <w:pPr>
        <w:ind w:left="3600" w:hanging="360"/>
      </w:pPr>
      <w:rPr>
        <w:rFonts w:hint="default" w:ascii="Courier New" w:hAnsi="Courier New" w:eastAsia="Courier New" w:cs="Courier New"/>
      </w:rPr>
    </w:lvl>
    <w:lvl w:ilvl="5">
      <w:start w:val="1"/>
      <w:numFmt w:val="bullet"/>
      <w:isLgl w:val="false"/>
      <w:suff w:val="tab"/>
      <w:lvlText w:val="§"/>
      <w:lvlJc w:val="left"/>
      <w:pPr>
        <w:ind w:left="4320" w:hanging="360"/>
      </w:pPr>
      <w:rPr>
        <w:rFonts w:hint="default" w:ascii="Wingdings" w:hAnsi="Wingdings" w:eastAsia="Wingdings" w:cs="Wingdings"/>
      </w:rPr>
    </w:lvl>
    <w:lvl w:ilvl="6">
      <w:start w:val="1"/>
      <w:numFmt w:val="bullet"/>
      <w:isLgl w:val="false"/>
      <w:suff w:val="tab"/>
      <w:lvlText w:val="·"/>
      <w:lvlJc w:val="left"/>
      <w:pPr>
        <w:ind w:left="5040" w:hanging="360"/>
      </w:pPr>
      <w:rPr>
        <w:rFonts w:hint="default" w:ascii="Symbol" w:hAnsi="Symbol" w:eastAsia="Symbol" w:cs="Symbol"/>
      </w:rPr>
    </w:lvl>
    <w:lvl w:ilvl="7">
      <w:start w:val="1"/>
      <w:numFmt w:val="bullet"/>
      <w:isLgl w:val="false"/>
      <w:suff w:val="tab"/>
      <w:lvlText w:val="o"/>
      <w:lvlJc w:val="left"/>
      <w:pPr>
        <w:ind w:left="5760" w:hanging="360"/>
      </w:pPr>
      <w:rPr>
        <w:rFonts w:hint="default" w:ascii="Courier New" w:hAnsi="Courier New" w:eastAsia="Courier New" w:cs="Courier New"/>
      </w:rPr>
    </w:lvl>
    <w:lvl w:ilvl="8">
      <w:start w:val="1"/>
      <w:numFmt w:val="bullet"/>
      <w:isLgl w:val="false"/>
      <w:suff w:val="tab"/>
      <w:lvlText w:val="§"/>
      <w:lvlJc w:val="left"/>
      <w:pPr>
        <w:ind w:left="6480" w:hanging="360"/>
      </w:pPr>
      <w:rPr>
        <w:rFonts w:hint="default" w:ascii="Wingdings" w:hAnsi="Wingdings" w:eastAsia="Wingdings" w:cs="Wingdings"/>
      </w:rPr>
    </w:lvl>
  </w:abstractNum>
  <w:abstractNum w:abstractNumId="45">
    <w:multiLevelType w:val="hybridMultilevel"/>
    <w:styleLink w:val="1330"/>
    <w:lvl w:ilvl="0">
      <w:start w:val="1"/>
      <w:numFmt w:val="bullet"/>
      <w:pStyle w:val="1330"/>
      <w:isLgl w:val="false"/>
      <w:suff w:val="tab"/>
      <w:lvlText w:val="•"/>
      <w:lvlJc w:val="left"/>
      <w:pPr>
        <w:ind w:left="720" w:hanging="360"/>
      </w:pPr>
      <w:rPr>
        <w:rFonts w:ascii="Symbol" w:hAnsi="Symbol" w:eastAsia="Symbol" w:cs="Symbol"/>
        <w:b w:val="0"/>
        <w:bCs w:val="0"/>
        <w:i w:val="0"/>
        <w:iCs w:val="0"/>
        <w:caps w:val="0"/>
        <w:smallCaps w:val="0"/>
        <w:strike w:val="0"/>
        <w:color w:val="000000"/>
        <w:spacing w:val="0"/>
        <w:position w:val="0"/>
        <w:highlight w:val="none"/>
        <w:vertAlign w:val="baseline"/>
      </w:rPr>
    </w:lvl>
    <w:lvl w:ilvl="1">
      <w:start w:val="1"/>
      <w:numFmt w:val="bullet"/>
      <w:isLgl w:val="false"/>
      <w:suff w:val="tab"/>
      <w:lvlText w:val="o"/>
      <w:lvlJc w:val="left"/>
      <w:pPr>
        <w:ind w:left="1440" w:hanging="360"/>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lvl w:ilvl="2">
      <w:start w:val="1"/>
      <w:numFmt w:val="bullet"/>
      <w:isLgl w:val="false"/>
      <w:suff w:val="tab"/>
      <w:lvlText w:val="▪"/>
      <w:lvlJc w:val="left"/>
      <w:pPr>
        <w:ind w:left="2160" w:hanging="360"/>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lvl w:ilvl="3">
      <w:start w:val="1"/>
      <w:numFmt w:val="bullet"/>
      <w:isLgl w:val="false"/>
      <w:suff w:val="tab"/>
      <w:lvlText w:val="•"/>
      <w:lvlJc w:val="left"/>
      <w:pPr>
        <w:ind w:left="2880" w:hanging="360"/>
      </w:pPr>
      <w:rPr>
        <w:rFonts w:ascii="Symbol" w:hAnsi="Symbol" w:eastAsia="Symbol" w:cs="Symbol"/>
        <w:b w:val="0"/>
        <w:bCs w:val="0"/>
        <w:i w:val="0"/>
        <w:iCs w:val="0"/>
        <w:caps w:val="0"/>
        <w:smallCaps w:val="0"/>
        <w:strike w:val="0"/>
        <w:color w:val="000000"/>
        <w:spacing w:val="0"/>
        <w:position w:val="0"/>
        <w:highlight w:val="none"/>
        <w:vertAlign w:val="baseline"/>
      </w:rPr>
    </w:lvl>
    <w:lvl w:ilvl="4">
      <w:start w:val="1"/>
      <w:numFmt w:val="bullet"/>
      <w:isLgl w:val="false"/>
      <w:suff w:val="tab"/>
      <w:lvlText w:val="o"/>
      <w:lvlJc w:val="left"/>
      <w:pPr>
        <w:ind w:left="3600" w:hanging="360"/>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lvl w:ilvl="5">
      <w:start w:val="1"/>
      <w:numFmt w:val="bullet"/>
      <w:isLgl w:val="false"/>
      <w:suff w:val="tab"/>
      <w:lvlText w:val="▪"/>
      <w:lvlJc w:val="left"/>
      <w:pPr>
        <w:ind w:left="4320" w:hanging="360"/>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lvl w:ilvl="6">
      <w:start w:val="1"/>
      <w:numFmt w:val="bullet"/>
      <w:isLgl w:val="false"/>
      <w:suff w:val="tab"/>
      <w:lvlText w:val="•"/>
      <w:lvlJc w:val="left"/>
      <w:pPr>
        <w:ind w:left="5040" w:hanging="360"/>
      </w:pPr>
      <w:rPr>
        <w:rFonts w:ascii="Symbol" w:hAnsi="Symbol" w:eastAsia="Symbol" w:cs="Symbol"/>
        <w:b w:val="0"/>
        <w:bCs w:val="0"/>
        <w:i w:val="0"/>
        <w:iCs w:val="0"/>
        <w:caps w:val="0"/>
        <w:smallCaps w:val="0"/>
        <w:strike w:val="0"/>
        <w:color w:val="000000"/>
        <w:spacing w:val="0"/>
        <w:position w:val="0"/>
        <w:highlight w:val="none"/>
        <w:vertAlign w:val="baseline"/>
      </w:rPr>
    </w:lvl>
    <w:lvl w:ilvl="7">
      <w:start w:val="1"/>
      <w:numFmt w:val="bullet"/>
      <w:isLgl w:val="false"/>
      <w:suff w:val="tab"/>
      <w:lvlText w:val="o"/>
      <w:lvlJc w:val="left"/>
      <w:pPr>
        <w:ind w:left="5760" w:hanging="360"/>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lvl w:ilvl="8">
      <w:start w:val="1"/>
      <w:numFmt w:val="bullet"/>
      <w:isLgl w:val="false"/>
      <w:suff w:val="tab"/>
      <w:lvlText w:val="▪"/>
      <w:lvlJc w:val="left"/>
      <w:pPr>
        <w:ind w:left="6480" w:hanging="360"/>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abstractNum>
  <w:abstractNum w:abstractNumId="46">
    <w:multiLevelType w:val="hybridMultilevel"/>
    <w:lvl w:ilvl="0">
      <w:start w:val="4"/>
      <w:numFmt w:val="decimal"/>
      <w:pStyle w:val="1544"/>
      <w:isLgl w:val="false"/>
      <w:suff w:val="tab"/>
      <w:lvlText w:val="%1."/>
      <w:lvlJc w:val="left"/>
      <w:pPr>
        <w:ind w:left="675" w:hanging="675"/>
      </w:pPr>
      <w:rPr>
        <w:rFonts w:hint="default" w:cs="Times New Roman"/>
      </w:rPr>
    </w:lvl>
    <w:lvl w:ilvl="1">
      <w:start w:val="1"/>
      <w:numFmt w:val="bullet"/>
      <w:isLgl w:val="false"/>
      <w:suff w:val="tab"/>
      <w:lvlText w:val=""/>
      <w:lvlJc w:val="left"/>
      <w:pPr>
        <w:ind w:left="1440" w:hanging="720"/>
      </w:pPr>
      <w:rPr>
        <w:rFonts w:hint="default" w:ascii="Symbol" w:hAnsi="Symbol"/>
      </w:rPr>
    </w:lvl>
    <w:lvl w:ilvl="2">
      <w:start w:val="1"/>
      <w:numFmt w:val="decimal"/>
      <w:isLgl w:val="false"/>
      <w:suff w:val="tab"/>
      <w:lvlText w:val="%1.%2.%3."/>
      <w:lvlJc w:val="left"/>
      <w:pPr>
        <w:ind w:left="2160" w:hanging="720"/>
      </w:pPr>
      <w:rPr>
        <w:rFonts w:hint="default" w:cs="Times New Roman"/>
      </w:rPr>
    </w:lvl>
    <w:lvl w:ilvl="3">
      <w:start w:val="1"/>
      <w:numFmt w:val="decimal"/>
      <w:isLgl w:val="false"/>
      <w:suff w:val="tab"/>
      <w:lvlText w:val="%1.%2.%3.%4."/>
      <w:lvlJc w:val="left"/>
      <w:pPr>
        <w:ind w:left="3240" w:hanging="1080"/>
      </w:pPr>
      <w:rPr>
        <w:rFonts w:hint="default" w:cs="Times New Roman"/>
      </w:rPr>
    </w:lvl>
    <w:lvl w:ilvl="4">
      <w:start w:val="1"/>
      <w:numFmt w:val="decimal"/>
      <w:isLgl w:val="false"/>
      <w:suff w:val="tab"/>
      <w:lvlText w:val="%1.%2.%3.%4.%5."/>
      <w:lvlJc w:val="left"/>
      <w:pPr>
        <w:ind w:left="3960" w:hanging="1080"/>
      </w:pPr>
      <w:rPr>
        <w:rFonts w:hint="default" w:cs="Times New Roman"/>
      </w:rPr>
    </w:lvl>
    <w:lvl w:ilvl="5">
      <w:start w:val="1"/>
      <w:numFmt w:val="decimal"/>
      <w:isLgl w:val="false"/>
      <w:suff w:val="tab"/>
      <w:lvlText w:val="%1.%2.%3.%4.%5.%6."/>
      <w:lvlJc w:val="left"/>
      <w:pPr>
        <w:ind w:left="5040" w:hanging="1440"/>
      </w:pPr>
      <w:rPr>
        <w:rFonts w:hint="default" w:cs="Times New Roman"/>
      </w:rPr>
    </w:lvl>
    <w:lvl w:ilvl="6">
      <w:start w:val="1"/>
      <w:numFmt w:val="decimal"/>
      <w:isLgl w:val="false"/>
      <w:suff w:val="tab"/>
      <w:lvlText w:val="%1.%2.%3.%4.%5.%6.%7."/>
      <w:lvlJc w:val="left"/>
      <w:pPr>
        <w:ind w:left="6120" w:hanging="1800"/>
      </w:pPr>
      <w:rPr>
        <w:rFonts w:hint="default" w:cs="Times New Roman"/>
      </w:rPr>
    </w:lvl>
    <w:lvl w:ilvl="7">
      <w:start w:val="1"/>
      <w:numFmt w:val="decimal"/>
      <w:isLgl w:val="false"/>
      <w:suff w:val="tab"/>
      <w:lvlText w:val="%1.%2.%3.%4.%5.%6.%7.%8."/>
      <w:lvlJc w:val="left"/>
      <w:pPr>
        <w:ind w:left="6840" w:hanging="1800"/>
      </w:pPr>
      <w:rPr>
        <w:rFonts w:hint="default" w:cs="Times New Roman"/>
      </w:rPr>
    </w:lvl>
    <w:lvl w:ilvl="8">
      <w:start w:val="1"/>
      <w:numFmt w:val="decimal"/>
      <w:isLgl w:val="false"/>
      <w:suff w:val="tab"/>
      <w:lvlText w:val="%1.%2.%3.%4.%5.%6.%7.%8.%9."/>
      <w:lvlJc w:val="left"/>
      <w:pPr>
        <w:ind w:left="7920" w:hanging="2160"/>
      </w:pPr>
      <w:rPr>
        <w:rFonts w:hint="default" w:cs="Times New Roman"/>
      </w:rPr>
    </w:lvl>
  </w:abstractNum>
  <w:abstractNum w:abstractNumId="47">
    <w:multiLevelType w:val="hybridMultilevel"/>
    <w:styleLink w:val="1348"/>
    <w:lvl w:ilvl="0">
      <w:start w:val="1"/>
      <w:numFmt w:val="bullet"/>
      <w:pStyle w:val="1348"/>
      <w:isLgl w:val="false"/>
      <w:suff w:val="tab"/>
      <w:lvlText w:val="−"/>
      <w:lvlJc w:val="left"/>
      <w:pPr>
        <w:ind w:left="1512" w:firstLine="277"/>
        <w:tabs>
          <w:tab w:val="left" w:pos="900" w:leader="none"/>
          <w:tab w:val="left" w:pos="1080" w:leader="none"/>
          <w:tab w:val="left" w:pos="1440" w:leader="none"/>
          <w:tab w:val="num" w:pos="2221" w:leader="none"/>
        </w:tabs>
      </w:pPr>
      <w:rPr>
        <w:rFonts w:ascii="Symbol" w:hAnsi="Symbol" w:eastAsia="Symbol" w:cs="Symbol"/>
        <w:b w:val="0"/>
        <w:bCs w:val="0"/>
        <w:i w:val="0"/>
        <w:iCs w:val="0"/>
        <w:caps w:val="0"/>
        <w:smallCaps w:val="0"/>
        <w:strike w:val="0"/>
        <w:color w:val="000000"/>
        <w:spacing w:val="0"/>
        <w:position w:val="0"/>
        <w:highlight w:val="none"/>
        <w:vertAlign w:val="baseline"/>
      </w:rPr>
    </w:lvl>
    <w:lvl w:ilvl="1">
      <w:start w:val="1"/>
      <w:numFmt w:val="bullet"/>
      <w:isLgl w:val="false"/>
      <w:suff w:val="tab"/>
      <w:lvlText w:val="−"/>
      <w:lvlJc w:val="left"/>
      <w:pPr>
        <w:ind w:left="191" w:firstLine="518"/>
        <w:tabs>
          <w:tab w:val="num" w:pos="900" w:leader="none"/>
          <w:tab w:val="left" w:pos="1080" w:leader="none"/>
          <w:tab w:val="left" w:pos="1440" w:leader="none"/>
        </w:tabs>
      </w:pPr>
      <w:rPr>
        <w:rFonts w:ascii="Symbol" w:hAnsi="Symbol" w:eastAsia="Symbol" w:cs="Symbol"/>
        <w:b w:val="0"/>
        <w:bCs w:val="0"/>
        <w:i w:val="0"/>
        <w:iCs w:val="0"/>
        <w:caps w:val="0"/>
        <w:smallCaps w:val="0"/>
        <w:strike w:val="0"/>
        <w:color w:val="000000"/>
        <w:spacing w:val="0"/>
        <w:position w:val="0"/>
        <w:highlight w:val="none"/>
        <w:vertAlign w:val="baseline"/>
      </w:rPr>
    </w:lvl>
    <w:lvl w:ilvl="2">
      <w:start w:val="1"/>
      <w:numFmt w:val="bullet"/>
      <w:isLgl w:val="false"/>
      <w:suff w:val="tab"/>
      <w:lvlText w:val="▪"/>
      <w:lvlJc w:val="left"/>
      <w:pPr>
        <w:ind w:left="1592" w:firstLine="490"/>
        <w:tabs>
          <w:tab w:val="left" w:pos="900" w:leader="none"/>
          <w:tab w:val="left" w:pos="1080" w:leader="none"/>
          <w:tab w:val="left" w:pos="1440" w:leader="none"/>
          <w:tab w:val="num" w:pos="2301" w:leader="none"/>
        </w:tabs>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lvl w:ilvl="3">
      <w:start w:val="1"/>
      <w:numFmt w:val="bullet"/>
      <w:isLgl w:val="false"/>
      <w:suff w:val="tab"/>
      <w:lvlText w:val="•"/>
      <w:lvlJc w:val="left"/>
      <w:pPr>
        <w:ind w:left="2312" w:firstLine="490"/>
        <w:tabs>
          <w:tab w:val="left" w:pos="900" w:leader="none"/>
          <w:tab w:val="left" w:pos="1080" w:leader="none"/>
          <w:tab w:val="left" w:pos="1440" w:leader="none"/>
          <w:tab w:val="num" w:pos="3021" w:leader="none"/>
        </w:tabs>
      </w:pPr>
      <w:rPr>
        <w:rFonts w:ascii="Symbol" w:hAnsi="Symbol" w:eastAsia="Symbol" w:cs="Symbol"/>
        <w:b w:val="0"/>
        <w:bCs w:val="0"/>
        <w:i w:val="0"/>
        <w:iCs w:val="0"/>
        <w:caps w:val="0"/>
        <w:smallCaps w:val="0"/>
        <w:strike w:val="0"/>
        <w:color w:val="000000"/>
        <w:spacing w:val="0"/>
        <w:position w:val="0"/>
        <w:highlight w:val="none"/>
        <w:vertAlign w:val="baseline"/>
      </w:rPr>
    </w:lvl>
    <w:lvl w:ilvl="4">
      <w:start w:val="1"/>
      <w:numFmt w:val="bullet"/>
      <w:isLgl w:val="false"/>
      <w:suff w:val="tab"/>
      <w:lvlText w:val="o"/>
      <w:lvlJc w:val="left"/>
      <w:pPr>
        <w:ind w:left="3032" w:firstLine="490"/>
        <w:tabs>
          <w:tab w:val="left" w:pos="900" w:leader="none"/>
          <w:tab w:val="left" w:pos="1080" w:leader="none"/>
          <w:tab w:val="left" w:pos="1440" w:leader="none"/>
          <w:tab w:val="num" w:pos="3741" w:leader="none"/>
        </w:tabs>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lvl w:ilvl="5">
      <w:start w:val="1"/>
      <w:numFmt w:val="bullet"/>
      <w:isLgl w:val="false"/>
      <w:suff w:val="tab"/>
      <w:lvlText w:val="▪"/>
      <w:lvlJc w:val="left"/>
      <w:pPr>
        <w:ind w:left="3752" w:firstLine="490"/>
        <w:tabs>
          <w:tab w:val="left" w:pos="900" w:leader="none"/>
          <w:tab w:val="left" w:pos="1080" w:leader="none"/>
          <w:tab w:val="left" w:pos="1440" w:leader="none"/>
          <w:tab w:val="num" w:pos="4461" w:leader="none"/>
        </w:tabs>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lvl w:ilvl="6">
      <w:start w:val="1"/>
      <w:numFmt w:val="bullet"/>
      <w:isLgl w:val="false"/>
      <w:suff w:val="tab"/>
      <w:lvlText w:val="•"/>
      <w:lvlJc w:val="left"/>
      <w:pPr>
        <w:ind w:left="4472" w:firstLine="490"/>
        <w:tabs>
          <w:tab w:val="left" w:pos="900" w:leader="none"/>
          <w:tab w:val="left" w:pos="1080" w:leader="none"/>
          <w:tab w:val="left" w:pos="1440" w:leader="none"/>
          <w:tab w:val="num" w:pos="5181" w:leader="none"/>
        </w:tabs>
      </w:pPr>
      <w:rPr>
        <w:rFonts w:ascii="Symbol" w:hAnsi="Symbol" w:eastAsia="Symbol" w:cs="Symbol"/>
        <w:b w:val="0"/>
        <w:bCs w:val="0"/>
        <w:i w:val="0"/>
        <w:iCs w:val="0"/>
        <w:caps w:val="0"/>
        <w:smallCaps w:val="0"/>
        <w:strike w:val="0"/>
        <w:color w:val="000000"/>
        <w:spacing w:val="0"/>
        <w:position w:val="0"/>
        <w:highlight w:val="none"/>
        <w:vertAlign w:val="baseline"/>
      </w:rPr>
    </w:lvl>
    <w:lvl w:ilvl="7">
      <w:start w:val="1"/>
      <w:numFmt w:val="bullet"/>
      <w:isLgl w:val="false"/>
      <w:suff w:val="tab"/>
      <w:lvlText w:val="o"/>
      <w:lvlJc w:val="left"/>
      <w:pPr>
        <w:ind w:left="5192" w:firstLine="490"/>
        <w:tabs>
          <w:tab w:val="left" w:pos="900" w:leader="none"/>
          <w:tab w:val="left" w:pos="1080" w:leader="none"/>
          <w:tab w:val="left" w:pos="1440" w:leader="none"/>
          <w:tab w:val="num" w:pos="5901" w:leader="none"/>
        </w:tabs>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lvl w:ilvl="8">
      <w:start w:val="1"/>
      <w:numFmt w:val="bullet"/>
      <w:isLgl w:val="false"/>
      <w:suff w:val="tab"/>
      <w:lvlText w:val="▪"/>
      <w:lvlJc w:val="left"/>
      <w:pPr>
        <w:ind w:left="5912" w:firstLine="490"/>
        <w:tabs>
          <w:tab w:val="left" w:pos="900" w:leader="none"/>
          <w:tab w:val="left" w:pos="1080" w:leader="none"/>
          <w:tab w:val="left" w:pos="1440" w:leader="none"/>
          <w:tab w:val="num" w:pos="6621" w:leader="none"/>
        </w:tabs>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abstractNum>
  <w:abstractNum w:abstractNumId="48">
    <w:multiLevelType w:val="hybridMultilevel"/>
    <w:styleLink w:val="1397"/>
    <w:lvl w:ilvl="0">
      <w:start w:val="1"/>
      <w:numFmt w:val="decimal"/>
      <w:pStyle w:val="1397"/>
      <w:isLgl w:val="false"/>
      <w:suff w:val="tab"/>
      <w:lvlText w:val="%1."/>
      <w:lvlJc w:val="left"/>
      <w:pPr>
        <w:ind w:left="878" w:hanging="168"/>
        <w:tabs>
          <w:tab w:val="left" w:pos="1620" w:leader="none"/>
        </w:tabs>
      </w:pPr>
      <w:rPr>
        <w:rFonts w:hAnsi="Arial Unicode MS"/>
        <w:caps w:val="0"/>
        <w:smallCaps w:val="0"/>
        <w:strike w:val="0"/>
        <w:color w:val="000000"/>
        <w:spacing w:val="0"/>
        <w:position w:val="0"/>
        <w:highlight w:val="none"/>
        <w:vertAlign w:val="baseline"/>
      </w:rPr>
    </w:lvl>
    <w:lvl w:ilvl="1">
      <w:start w:val="1"/>
      <w:numFmt w:val="decimal"/>
      <w:isLgl w:val="false"/>
      <w:suff w:val="tab"/>
      <w:lvlText w:val="%2."/>
      <w:lvlJc w:val="left"/>
      <w:pPr>
        <w:ind w:left="567" w:firstLine="142"/>
        <w:tabs>
          <w:tab w:val="num" w:pos="1276" w:leader="none"/>
          <w:tab w:val="left" w:pos="1418" w:leader="none"/>
          <w:tab w:val="left" w:pos="1620" w:leader="none"/>
        </w:tabs>
      </w:pPr>
      <w:rPr>
        <w:rFonts w:hAnsi="Arial Unicode MS"/>
        <w:caps w:val="0"/>
        <w:smallCaps w:val="0"/>
        <w:strike w:val="0"/>
        <w:color w:val="000000"/>
        <w:spacing w:val="0"/>
        <w:position w:val="0"/>
        <w:highlight w:val="none"/>
        <w:vertAlign w:val="baseline"/>
      </w:rPr>
    </w:lvl>
    <w:lvl w:ilvl="2">
      <w:start w:val="1"/>
      <w:numFmt w:val="decimal"/>
      <w:isLgl w:val="false"/>
      <w:suff w:val="tab"/>
      <w:lvlText w:val="%2.%3."/>
      <w:lvlJc w:val="left"/>
      <w:pPr>
        <w:ind w:left="709" w:firstLine="0"/>
        <w:tabs>
          <w:tab w:val="num" w:pos="1418" w:leader="none"/>
        </w:tabs>
      </w:pPr>
      <w:rPr>
        <w:rFonts w:ascii="Times New Roman" w:hAnsi="Times New Roman" w:eastAsia="Times New Roman" w:cs="Times New Roman"/>
        <w:b w:val="0"/>
        <w:bCs w:val="0"/>
        <w:i w:val="0"/>
        <w:iCs w:val="0"/>
        <w:caps w:val="0"/>
        <w:smallCaps w:val="0"/>
        <w:strike w:val="0"/>
        <w:color w:val="000000"/>
        <w:spacing w:val="0"/>
        <w:position w:val="0"/>
        <w:highlight w:val="none"/>
        <w:vertAlign w:val="baseline"/>
      </w:rPr>
    </w:lvl>
    <w:lvl w:ilvl="3">
      <w:start w:val="1"/>
      <w:numFmt w:val="decimal"/>
      <w:isLgl w:val="false"/>
      <w:suff w:val="tab"/>
      <w:lvlText w:val="%2.%3.%4."/>
      <w:lvlJc w:val="left"/>
      <w:pPr>
        <w:ind w:left="1560" w:hanging="851"/>
      </w:pPr>
      <w:rPr>
        <w:rFonts w:ascii="Times New Roman" w:hAnsi="Times New Roman" w:eastAsia="Times New Roman" w:cs="Times New Roman"/>
        <w:b w:val="0"/>
        <w:bCs w:val="0"/>
        <w:i w:val="0"/>
        <w:iCs w:val="0"/>
        <w:caps w:val="0"/>
        <w:smallCaps w:val="0"/>
        <w:strike w:val="0"/>
        <w:color w:val="000000"/>
        <w:spacing w:val="0"/>
        <w:position w:val="0"/>
        <w:highlight w:val="none"/>
        <w:vertAlign w:val="baseline"/>
      </w:rPr>
    </w:lvl>
    <w:lvl w:ilvl="4">
      <w:start w:val="1"/>
      <w:numFmt w:val="decimal"/>
      <w:isLgl w:val="false"/>
      <w:suff w:val="tab"/>
      <w:lvlText w:val="%2.%3.%4.%5."/>
      <w:lvlJc w:val="left"/>
      <w:pPr>
        <w:ind w:left="1560" w:hanging="851"/>
      </w:pPr>
      <w:rPr>
        <w:rFonts w:ascii="Times New Roman" w:hAnsi="Times New Roman" w:eastAsia="Times New Roman" w:cs="Times New Roman"/>
        <w:b w:val="0"/>
        <w:bCs w:val="0"/>
        <w:i w:val="0"/>
        <w:iCs w:val="0"/>
        <w:caps w:val="0"/>
        <w:smallCaps w:val="0"/>
        <w:strike w:val="0"/>
        <w:color w:val="000000"/>
        <w:spacing w:val="0"/>
        <w:position w:val="0"/>
        <w:highlight w:val="none"/>
        <w:vertAlign w:val="baseline"/>
      </w:rPr>
    </w:lvl>
    <w:lvl w:ilvl="5">
      <w:start w:val="1"/>
      <w:numFmt w:val="decimal"/>
      <w:isLgl w:val="false"/>
      <w:suff w:val="tab"/>
      <w:lvlText w:val="%2.%3.%4.%5.%6."/>
      <w:lvlJc w:val="left"/>
      <w:pPr>
        <w:ind w:left="1560" w:hanging="851"/>
      </w:pPr>
      <w:rPr>
        <w:rFonts w:ascii="Times New Roman" w:hAnsi="Times New Roman" w:eastAsia="Times New Roman" w:cs="Times New Roman"/>
        <w:b w:val="0"/>
        <w:bCs w:val="0"/>
        <w:i w:val="0"/>
        <w:iCs w:val="0"/>
        <w:caps w:val="0"/>
        <w:smallCaps w:val="0"/>
        <w:strike w:val="0"/>
        <w:color w:val="000000"/>
        <w:spacing w:val="0"/>
        <w:position w:val="0"/>
        <w:highlight w:val="none"/>
        <w:vertAlign w:val="baseline"/>
      </w:rPr>
    </w:lvl>
    <w:lvl w:ilvl="6">
      <w:start w:val="1"/>
      <w:numFmt w:val="decimal"/>
      <w:isLgl w:val="false"/>
      <w:suff w:val="tab"/>
      <w:lvlText w:val="%2.%3.%4.%5.%6.%7."/>
      <w:lvlJc w:val="left"/>
      <w:pPr>
        <w:ind w:left="371" w:firstLine="338"/>
        <w:tabs>
          <w:tab w:val="num" w:pos="1080" w:leader="none"/>
          <w:tab w:val="left" w:pos="1418" w:leader="none"/>
        </w:tabs>
      </w:pPr>
      <w:rPr>
        <w:rFonts w:ascii="Times New Roman" w:hAnsi="Times New Roman" w:eastAsia="Times New Roman" w:cs="Times New Roman"/>
        <w:b w:val="0"/>
        <w:bCs w:val="0"/>
        <w:i w:val="0"/>
        <w:iCs w:val="0"/>
        <w:caps w:val="0"/>
        <w:smallCaps w:val="0"/>
        <w:strike w:val="0"/>
        <w:color w:val="000000"/>
        <w:spacing w:val="0"/>
        <w:position w:val="0"/>
        <w:highlight w:val="none"/>
        <w:vertAlign w:val="baseline"/>
      </w:rPr>
    </w:lvl>
    <w:lvl w:ilvl="7">
      <w:start w:val="1"/>
      <w:numFmt w:val="decimal"/>
      <w:isLgl w:val="false"/>
      <w:suff w:val="tab"/>
      <w:lvlText w:val="%2.%3.%4.%5.%6.%7.%8."/>
      <w:lvlJc w:val="left"/>
      <w:pPr>
        <w:ind w:left="371" w:firstLine="338"/>
        <w:tabs>
          <w:tab w:val="num" w:pos="1080" w:leader="none"/>
          <w:tab w:val="left" w:pos="1418" w:leader="none"/>
        </w:tabs>
      </w:pPr>
      <w:rPr>
        <w:rFonts w:ascii="Times New Roman" w:hAnsi="Times New Roman" w:eastAsia="Times New Roman" w:cs="Times New Roman"/>
        <w:b w:val="0"/>
        <w:bCs w:val="0"/>
        <w:i w:val="0"/>
        <w:iCs w:val="0"/>
        <w:caps w:val="0"/>
        <w:smallCaps w:val="0"/>
        <w:strike w:val="0"/>
        <w:color w:val="000000"/>
        <w:spacing w:val="0"/>
        <w:position w:val="0"/>
        <w:highlight w:val="none"/>
        <w:vertAlign w:val="baseline"/>
      </w:rPr>
    </w:lvl>
    <w:lvl w:ilvl="8">
      <w:start w:val="1"/>
      <w:numFmt w:val="decimal"/>
      <w:isLgl w:val="false"/>
      <w:suff w:val="tab"/>
      <w:lvlText w:val="%2.%3.%4.%5.%6.%7.%8.%9."/>
      <w:lvlJc w:val="left"/>
      <w:pPr>
        <w:ind w:left="731" w:hanging="22"/>
        <w:tabs>
          <w:tab w:val="num" w:pos="1440" w:leader="none"/>
        </w:tabs>
      </w:pPr>
      <w:rPr>
        <w:rFonts w:ascii="Times New Roman" w:hAnsi="Times New Roman" w:eastAsia="Times New Roman" w:cs="Times New Roman"/>
        <w:b w:val="0"/>
        <w:bCs w:val="0"/>
        <w:i w:val="0"/>
        <w:iCs w:val="0"/>
        <w:caps w:val="0"/>
        <w:smallCaps w:val="0"/>
        <w:strike w:val="0"/>
        <w:color w:val="000000"/>
        <w:spacing w:val="0"/>
        <w:position w:val="0"/>
        <w:highlight w:val="none"/>
        <w:vertAlign w:val="baseline"/>
      </w:rPr>
    </w:lvl>
  </w:abstractNum>
  <w:abstractNum w:abstractNumId="49">
    <w:multiLevelType w:val="hybridMultilevel"/>
    <w:lvl w:ilvl="0">
      <w:start w:val="11"/>
      <w:numFmt w:val="decimal"/>
      <w:isLgl w:val="false"/>
      <w:suff w:val="tab"/>
      <w:lvlText w:val="%1."/>
      <w:lvlJc w:val="left"/>
      <w:pPr>
        <w:ind w:left="480" w:hanging="480"/>
      </w:pPr>
      <w:rPr>
        <w:rFonts w:hint="default"/>
      </w:rPr>
    </w:lvl>
    <w:lvl w:ilvl="1">
      <w:start w:val="1"/>
      <w:numFmt w:val="decimal"/>
      <w:isLgl w:val="false"/>
      <w:suff w:val="tab"/>
      <w:lvlText w:val="%1.%2."/>
      <w:lvlJc w:val="left"/>
      <w:pPr>
        <w:ind w:left="480" w:hanging="480"/>
      </w:pPr>
      <w:rPr>
        <w:rFonts w:hint="default"/>
      </w:rPr>
    </w:lvl>
    <w:lvl w:ilvl="2">
      <w:start w:val="1"/>
      <w:numFmt w:val="decimal"/>
      <w:isLgl w:val="false"/>
      <w:suff w:val="tab"/>
      <w:lvlText w:val="%1.%2.%3."/>
      <w:lvlJc w:val="left"/>
      <w:pPr>
        <w:ind w:left="720" w:hanging="720"/>
      </w:pPr>
      <w:rPr>
        <w:rFonts w:hint="default"/>
      </w:rPr>
    </w:lvl>
    <w:lvl w:ilvl="3">
      <w:start w:val="1"/>
      <w:numFmt w:val="decimal"/>
      <w:isLgl w:val="false"/>
      <w:suff w:val="tab"/>
      <w:lvlText w:val="%1.%2.%3.%4."/>
      <w:lvlJc w:val="left"/>
      <w:pPr>
        <w:ind w:left="720" w:hanging="720"/>
      </w:pPr>
      <w:rPr>
        <w:rFonts w:hint="default"/>
      </w:rPr>
    </w:lvl>
    <w:lvl w:ilvl="4">
      <w:start w:val="1"/>
      <w:numFmt w:val="decimal"/>
      <w:isLgl w:val="false"/>
      <w:suff w:val="tab"/>
      <w:lvlText w:val="%1.%2.%3.%4.%5."/>
      <w:lvlJc w:val="left"/>
      <w:pPr>
        <w:ind w:left="1080" w:hanging="1080"/>
      </w:pPr>
      <w:rPr>
        <w:rFonts w:hint="default"/>
      </w:rPr>
    </w:lvl>
    <w:lvl w:ilvl="5">
      <w:start w:val="1"/>
      <w:numFmt w:val="decimal"/>
      <w:isLgl w:val="false"/>
      <w:suff w:val="tab"/>
      <w:lvlText w:val="%1.%2.%3.%4.%5.%6."/>
      <w:lvlJc w:val="left"/>
      <w:pPr>
        <w:ind w:left="1080" w:hanging="1080"/>
      </w:pPr>
      <w:rPr>
        <w:rFonts w:hint="default"/>
      </w:rPr>
    </w:lvl>
    <w:lvl w:ilvl="6">
      <w:start w:val="1"/>
      <w:numFmt w:val="decimal"/>
      <w:isLgl w:val="false"/>
      <w:suff w:val="tab"/>
      <w:lvlText w:val="%1.%2.%3.%4.%5.%6.%7."/>
      <w:lvlJc w:val="left"/>
      <w:pPr>
        <w:ind w:left="1440" w:hanging="1440"/>
      </w:pPr>
      <w:rPr>
        <w:rFonts w:hint="default"/>
      </w:rPr>
    </w:lvl>
    <w:lvl w:ilvl="7">
      <w:start w:val="1"/>
      <w:numFmt w:val="decimal"/>
      <w:isLgl w:val="false"/>
      <w:suff w:val="tab"/>
      <w:lvlText w:val="%1.%2.%3.%4.%5.%6.%7.%8."/>
      <w:lvlJc w:val="left"/>
      <w:pPr>
        <w:ind w:left="1440" w:hanging="1440"/>
      </w:pPr>
      <w:rPr>
        <w:rFonts w:hint="default"/>
      </w:rPr>
    </w:lvl>
    <w:lvl w:ilvl="8">
      <w:start w:val="1"/>
      <w:numFmt w:val="decimal"/>
      <w:isLgl w:val="false"/>
      <w:suff w:val="tab"/>
      <w:lvlText w:val="%1.%2.%3.%4.%5.%6.%7.%8.%9."/>
      <w:lvlJc w:val="left"/>
      <w:pPr>
        <w:ind w:left="1800" w:hanging="1800"/>
      </w:pPr>
      <w:rPr>
        <w:rFonts w:hint="default"/>
      </w:rPr>
    </w:lvl>
  </w:abstractNum>
  <w:abstractNum w:abstractNumId="50">
    <w:multiLevelType w:val="hybridMultilevel"/>
    <w:styleLink w:val="1399"/>
    <w:lvl w:ilvl="0">
      <w:start w:val="1"/>
      <w:numFmt w:val="bullet"/>
      <w:pStyle w:val="1399"/>
      <w:isLgl w:val="false"/>
      <w:suff w:val="tab"/>
      <w:lvlText w:val="−"/>
      <w:lvlJc w:val="left"/>
      <w:pPr>
        <w:ind w:left="2343" w:firstLine="241"/>
        <w:tabs>
          <w:tab w:val="left" w:pos="360" w:leader="none"/>
          <w:tab w:val="left" w:pos="993" w:leader="none"/>
          <w:tab w:val="left" w:pos="2235" w:leader="none"/>
          <w:tab w:val="num" w:pos="3052" w:leader="none"/>
        </w:tabs>
      </w:pPr>
      <w:rPr>
        <w:rFonts w:ascii="Times New Roman" w:hAnsi="Times New Roman" w:eastAsia="Times New Roman" w:cs="Times New Roman"/>
        <w:b w:val="0"/>
        <w:bCs w:val="0"/>
        <w:i w:val="0"/>
        <w:iCs w:val="0"/>
        <w:caps w:val="0"/>
        <w:smallCaps w:val="0"/>
        <w:strike w:val="0"/>
        <w:color w:val="000000"/>
        <w:spacing w:val="0"/>
        <w:position w:val="0"/>
        <w:highlight w:val="none"/>
        <w:vertAlign w:val="baseline"/>
      </w:rPr>
    </w:lvl>
    <w:lvl w:ilvl="1">
      <w:start w:val="1"/>
      <w:numFmt w:val="bullet"/>
      <w:isLgl w:val="false"/>
      <w:suff w:val="tab"/>
      <w:lvlText w:val="-"/>
      <w:lvlJc w:val="left"/>
      <w:pPr>
        <w:ind w:left="284" w:firstLine="425"/>
        <w:tabs>
          <w:tab w:val="left" w:pos="360" w:leader="none"/>
          <w:tab w:val="num" w:pos="993" w:leader="none"/>
          <w:tab w:val="left" w:pos="2235" w:leader="none"/>
        </w:tabs>
      </w:pPr>
      <w:rPr>
        <w:rFonts w:ascii="Times New Roman" w:hAnsi="Times New Roman" w:eastAsia="Times New Roman" w:cs="Times New Roman"/>
        <w:b w:val="0"/>
        <w:bCs w:val="0"/>
        <w:i w:val="0"/>
        <w:iCs w:val="0"/>
        <w:caps w:val="0"/>
        <w:smallCaps w:val="0"/>
        <w:strike w:val="0"/>
        <w:color w:val="000000"/>
        <w:spacing w:val="0"/>
        <w:position w:val="0"/>
        <w:highlight w:val="none"/>
        <w:vertAlign w:val="baseline"/>
      </w:rPr>
    </w:lvl>
    <w:lvl w:ilvl="2">
      <w:start w:val="1"/>
      <w:numFmt w:val="bullet"/>
      <w:isLgl w:val="false"/>
      <w:suff w:val="tab"/>
      <w:lvlText w:val="▪"/>
      <w:lvlJc w:val="left"/>
      <w:pPr>
        <w:ind w:left="1526" w:hanging="817"/>
        <w:tabs>
          <w:tab w:val="left" w:pos="360" w:leader="none"/>
        </w:tabs>
      </w:pPr>
      <w:rPr>
        <w:rFonts w:ascii="Times New Roman" w:hAnsi="Times New Roman" w:eastAsia="Times New Roman" w:cs="Times New Roman"/>
        <w:b w:val="0"/>
        <w:bCs w:val="0"/>
        <w:i w:val="0"/>
        <w:iCs w:val="0"/>
        <w:caps w:val="0"/>
        <w:smallCaps w:val="0"/>
        <w:strike w:val="0"/>
        <w:color w:val="000000"/>
        <w:spacing w:val="0"/>
        <w:position w:val="0"/>
        <w:highlight w:val="none"/>
        <w:vertAlign w:val="baseline"/>
      </w:rPr>
    </w:lvl>
    <w:lvl w:ilvl="3">
      <w:start w:val="1"/>
      <w:numFmt w:val="bullet"/>
      <w:isLgl w:val="false"/>
      <w:suff w:val="tab"/>
      <w:lvlText w:val="•"/>
      <w:lvlJc w:val="left"/>
      <w:pPr>
        <w:ind w:left="1526" w:hanging="817"/>
        <w:tabs>
          <w:tab w:val="left" w:pos="360" w:leader="none"/>
        </w:tabs>
      </w:pPr>
      <w:rPr>
        <w:rFonts w:ascii="Times New Roman" w:hAnsi="Times New Roman" w:eastAsia="Times New Roman" w:cs="Times New Roman"/>
        <w:b w:val="0"/>
        <w:bCs w:val="0"/>
        <w:i w:val="0"/>
        <w:iCs w:val="0"/>
        <w:caps w:val="0"/>
        <w:smallCaps w:val="0"/>
        <w:strike w:val="0"/>
        <w:color w:val="000000"/>
        <w:spacing w:val="0"/>
        <w:position w:val="0"/>
        <w:highlight w:val="none"/>
        <w:vertAlign w:val="baseline"/>
      </w:rPr>
    </w:lvl>
    <w:lvl w:ilvl="4">
      <w:start w:val="1"/>
      <w:numFmt w:val="bullet"/>
      <w:isLgl w:val="false"/>
      <w:suff w:val="tab"/>
      <w:lvlText w:val="o"/>
      <w:lvlJc w:val="left"/>
      <w:pPr>
        <w:ind w:left="2160" w:hanging="817"/>
        <w:tabs>
          <w:tab w:val="left" w:pos="360" w:leader="none"/>
          <w:tab w:val="left" w:pos="993" w:leader="none"/>
        </w:tabs>
      </w:pPr>
      <w:rPr>
        <w:rFonts w:ascii="Times New Roman" w:hAnsi="Times New Roman" w:eastAsia="Times New Roman" w:cs="Times New Roman"/>
        <w:b w:val="0"/>
        <w:bCs w:val="0"/>
        <w:i w:val="0"/>
        <w:iCs w:val="0"/>
        <w:caps w:val="0"/>
        <w:smallCaps w:val="0"/>
        <w:strike w:val="0"/>
        <w:color w:val="000000"/>
        <w:spacing w:val="0"/>
        <w:position w:val="0"/>
        <w:highlight w:val="none"/>
        <w:vertAlign w:val="baseline"/>
      </w:rPr>
    </w:lvl>
    <w:lvl w:ilvl="5">
      <w:start w:val="1"/>
      <w:numFmt w:val="bullet"/>
      <w:isLgl w:val="false"/>
      <w:suff w:val="tab"/>
      <w:lvlText w:val="▪"/>
      <w:lvlJc w:val="left"/>
      <w:pPr>
        <w:ind w:left="2880" w:hanging="817"/>
        <w:tabs>
          <w:tab w:val="left" w:pos="360" w:leader="none"/>
          <w:tab w:val="left" w:pos="993" w:leader="none"/>
        </w:tabs>
      </w:pPr>
      <w:rPr>
        <w:rFonts w:ascii="Times New Roman" w:hAnsi="Times New Roman" w:eastAsia="Times New Roman" w:cs="Times New Roman"/>
        <w:b w:val="0"/>
        <w:bCs w:val="0"/>
        <w:i w:val="0"/>
        <w:iCs w:val="0"/>
        <w:caps w:val="0"/>
        <w:smallCaps w:val="0"/>
        <w:strike w:val="0"/>
        <w:color w:val="000000"/>
        <w:spacing w:val="0"/>
        <w:position w:val="0"/>
        <w:highlight w:val="none"/>
        <w:vertAlign w:val="baseline"/>
      </w:rPr>
    </w:lvl>
    <w:lvl w:ilvl="6">
      <w:start w:val="1"/>
      <w:numFmt w:val="bullet"/>
      <w:isLgl w:val="false"/>
      <w:suff w:val="tab"/>
      <w:lvlText w:val="•"/>
      <w:lvlJc w:val="left"/>
      <w:pPr>
        <w:ind w:left="3600" w:hanging="817"/>
        <w:tabs>
          <w:tab w:val="left" w:pos="360" w:leader="none"/>
          <w:tab w:val="left" w:pos="993" w:leader="none"/>
          <w:tab w:val="left" w:pos="2235" w:leader="none"/>
        </w:tabs>
      </w:pPr>
      <w:rPr>
        <w:rFonts w:ascii="Times New Roman" w:hAnsi="Times New Roman" w:eastAsia="Times New Roman" w:cs="Times New Roman"/>
        <w:b w:val="0"/>
        <w:bCs w:val="0"/>
        <w:i w:val="0"/>
        <w:iCs w:val="0"/>
        <w:caps w:val="0"/>
        <w:smallCaps w:val="0"/>
        <w:strike w:val="0"/>
        <w:color w:val="000000"/>
        <w:spacing w:val="0"/>
        <w:position w:val="0"/>
        <w:highlight w:val="none"/>
        <w:vertAlign w:val="baseline"/>
      </w:rPr>
    </w:lvl>
    <w:lvl w:ilvl="7">
      <w:start w:val="1"/>
      <w:numFmt w:val="bullet"/>
      <w:isLgl w:val="false"/>
      <w:suff w:val="tab"/>
      <w:lvlText w:val="o"/>
      <w:lvlJc w:val="left"/>
      <w:pPr>
        <w:ind w:left="4320" w:hanging="817"/>
        <w:tabs>
          <w:tab w:val="left" w:pos="360" w:leader="none"/>
          <w:tab w:val="left" w:pos="993" w:leader="none"/>
          <w:tab w:val="left" w:pos="2235" w:leader="none"/>
        </w:tabs>
      </w:pPr>
      <w:rPr>
        <w:rFonts w:ascii="Times New Roman" w:hAnsi="Times New Roman" w:eastAsia="Times New Roman" w:cs="Times New Roman"/>
        <w:b w:val="0"/>
        <w:bCs w:val="0"/>
        <w:i w:val="0"/>
        <w:iCs w:val="0"/>
        <w:caps w:val="0"/>
        <w:smallCaps w:val="0"/>
        <w:strike w:val="0"/>
        <w:color w:val="000000"/>
        <w:spacing w:val="0"/>
        <w:position w:val="0"/>
        <w:highlight w:val="none"/>
        <w:vertAlign w:val="baseline"/>
      </w:rPr>
    </w:lvl>
    <w:lvl w:ilvl="8">
      <w:start w:val="1"/>
      <w:numFmt w:val="bullet"/>
      <w:isLgl w:val="false"/>
      <w:suff w:val="tab"/>
      <w:lvlText w:val="▪"/>
      <w:lvlJc w:val="left"/>
      <w:pPr>
        <w:ind w:left="5040" w:hanging="817"/>
        <w:tabs>
          <w:tab w:val="left" w:pos="360" w:leader="none"/>
          <w:tab w:val="left" w:pos="993" w:leader="none"/>
          <w:tab w:val="left" w:pos="2235" w:leader="none"/>
        </w:tabs>
      </w:pPr>
      <w:rPr>
        <w:rFonts w:ascii="Times New Roman" w:hAnsi="Times New Roman" w:eastAsia="Times New Roman" w:cs="Times New Roman"/>
        <w:b w:val="0"/>
        <w:bCs w:val="0"/>
        <w:i w:val="0"/>
        <w:iCs w:val="0"/>
        <w:caps w:val="0"/>
        <w:smallCaps w:val="0"/>
        <w:strike w:val="0"/>
        <w:color w:val="000000"/>
        <w:spacing w:val="0"/>
        <w:position w:val="0"/>
        <w:highlight w:val="none"/>
        <w:vertAlign w:val="baseline"/>
      </w:rPr>
    </w:lvl>
  </w:abstractNum>
  <w:abstractNum w:abstractNumId="51">
    <w:multiLevelType w:val="hybridMultilevel"/>
    <w:styleLink w:val="1401"/>
    <w:lvl w:ilvl="0">
      <w:start w:val="1"/>
      <w:numFmt w:val="decimal"/>
      <w:pStyle w:val="1401"/>
      <w:isLgl w:val="false"/>
      <w:suff w:val="tab"/>
      <w:lvlText w:val="%1."/>
      <w:lvlJc w:val="left"/>
      <w:pPr>
        <w:ind w:left="141" w:firstLine="426"/>
        <w:tabs>
          <w:tab w:val="num" w:pos="708" w:leader="none"/>
        </w:tabs>
      </w:pPr>
      <w:rPr>
        <w:rFonts w:hAnsi="Arial Unicode MS"/>
        <w:caps w:val="0"/>
        <w:smallCaps w:val="0"/>
        <w:strike w:val="0"/>
        <w:color w:val="000000"/>
        <w:spacing w:val="0"/>
        <w:position w:val="0"/>
        <w:highlight w:val="none"/>
        <w:vertAlign w:val="baseline"/>
      </w:rPr>
    </w:lvl>
    <w:lvl w:ilvl="1">
      <w:start w:val="1"/>
      <w:numFmt w:val="decimal"/>
      <w:isLgl w:val="false"/>
      <w:suff w:val="tab"/>
      <w:lvlText w:val="%1.%2."/>
      <w:lvlJc w:val="left"/>
      <w:pPr>
        <w:ind w:left="714" w:hanging="147"/>
      </w:pPr>
      <w:rPr>
        <w:rFonts w:hAnsi="Arial Unicode MS"/>
        <w:caps w:val="0"/>
        <w:smallCaps w:val="0"/>
        <w:strike w:val="0"/>
        <w:color w:val="000000"/>
        <w:spacing w:val="0"/>
        <w:position w:val="0"/>
        <w:highlight w:val="none"/>
        <w:vertAlign w:val="baseline"/>
      </w:rPr>
    </w:lvl>
    <w:lvl w:ilvl="2">
      <w:start w:val="1"/>
      <w:numFmt w:val="decimal"/>
      <w:isLgl w:val="false"/>
      <w:suff w:val="tab"/>
      <w:lvlText w:val="%1.%2.%3."/>
      <w:lvlJc w:val="left"/>
      <w:pPr>
        <w:ind w:left="630" w:hanging="12"/>
        <w:tabs>
          <w:tab w:val="num" w:pos="1197" w:leader="none"/>
        </w:tabs>
      </w:pPr>
      <w:rPr>
        <w:rFonts w:hAnsi="Arial Unicode MS"/>
        <w:caps w:val="0"/>
        <w:smallCaps w:val="0"/>
        <w:strike w:val="0"/>
        <w:color w:val="000000"/>
        <w:spacing w:val="0"/>
        <w:position w:val="0"/>
        <w:highlight w:val="none"/>
        <w:vertAlign w:val="baseline"/>
      </w:rPr>
    </w:lvl>
    <w:lvl w:ilvl="3">
      <w:start w:val="1"/>
      <w:numFmt w:val="decimal"/>
      <w:isLgl w:val="false"/>
      <w:suff w:val="tab"/>
      <w:lvlText w:val="%1.%2.%3.%4."/>
      <w:lvlJc w:val="left"/>
      <w:pPr>
        <w:ind w:left="1125" w:firstLine="414"/>
        <w:tabs>
          <w:tab w:val="num" w:pos="1692" w:leader="none"/>
        </w:tabs>
      </w:pPr>
      <w:rPr>
        <w:rFonts w:hAnsi="Arial Unicode MS"/>
        <w:caps w:val="0"/>
        <w:smallCaps w:val="0"/>
        <w:strike w:val="0"/>
        <w:color w:val="000000"/>
        <w:spacing w:val="0"/>
        <w:position w:val="0"/>
        <w:highlight w:val="none"/>
        <w:vertAlign w:val="baseline"/>
      </w:rPr>
    </w:lvl>
    <w:lvl w:ilvl="4">
      <w:start w:val="1"/>
      <w:numFmt w:val="decimal"/>
      <w:isLgl w:val="false"/>
      <w:suff w:val="tab"/>
      <w:lvlText w:val="%1.%2.%3.%4.%5."/>
      <w:lvlJc w:val="left"/>
      <w:pPr>
        <w:ind w:left="1260" w:firstLine="414"/>
        <w:tabs>
          <w:tab w:val="num" w:pos="1827" w:leader="none"/>
        </w:tabs>
      </w:pPr>
      <w:rPr>
        <w:rFonts w:hAnsi="Arial Unicode MS"/>
        <w:caps w:val="0"/>
        <w:smallCaps w:val="0"/>
        <w:strike w:val="0"/>
        <w:color w:val="000000"/>
        <w:spacing w:val="0"/>
        <w:position w:val="0"/>
        <w:highlight w:val="none"/>
        <w:vertAlign w:val="baseline"/>
      </w:rPr>
    </w:lvl>
    <w:lvl w:ilvl="5">
      <w:start w:val="1"/>
      <w:numFmt w:val="decimal"/>
      <w:isLgl w:val="false"/>
      <w:suff w:val="tab"/>
      <w:lvlText w:val="%1.%2.%3.%4.%5.%6."/>
      <w:lvlJc w:val="left"/>
      <w:pPr>
        <w:ind w:left="1755" w:firstLine="54"/>
        <w:tabs>
          <w:tab w:val="num" w:pos="2322" w:leader="none"/>
        </w:tabs>
      </w:pPr>
      <w:rPr>
        <w:rFonts w:hAnsi="Arial Unicode MS"/>
        <w:caps w:val="0"/>
        <w:smallCaps w:val="0"/>
        <w:strike w:val="0"/>
        <w:color w:val="000000"/>
        <w:spacing w:val="0"/>
        <w:position w:val="0"/>
        <w:highlight w:val="none"/>
        <w:vertAlign w:val="baseline"/>
      </w:rPr>
    </w:lvl>
    <w:lvl w:ilvl="6">
      <w:start w:val="1"/>
      <w:numFmt w:val="decimal"/>
      <w:isLgl w:val="false"/>
      <w:suff w:val="tab"/>
      <w:lvlText w:val="%1.%2.%3.%4.%5.%6.%7."/>
      <w:lvlJc w:val="left"/>
      <w:pPr>
        <w:ind w:left="2250" w:hanging="306"/>
      </w:pPr>
      <w:rPr>
        <w:rFonts w:hAnsi="Arial Unicode MS"/>
        <w:caps w:val="0"/>
        <w:smallCaps w:val="0"/>
        <w:strike w:val="0"/>
        <w:color w:val="000000"/>
        <w:spacing w:val="0"/>
        <w:position w:val="0"/>
        <w:highlight w:val="none"/>
        <w:vertAlign w:val="baseline"/>
      </w:rPr>
    </w:lvl>
    <w:lvl w:ilvl="7">
      <w:start w:val="1"/>
      <w:numFmt w:val="decimal"/>
      <w:isLgl w:val="false"/>
      <w:suff w:val="tab"/>
      <w:lvlText w:val="%1.%2.%3.%4.%5.%6.%7.%8."/>
      <w:lvlJc w:val="left"/>
      <w:pPr>
        <w:ind w:left="2385" w:hanging="306"/>
      </w:pPr>
      <w:rPr>
        <w:rFonts w:hAnsi="Arial Unicode MS"/>
        <w:caps w:val="0"/>
        <w:smallCaps w:val="0"/>
        <w:strike w:val="0"/>
        <w:color w:val="000000"/>
        <w:spacing w:val="0"/>
        <w:position w:val="0"/>
        <w:highlight w:val="none"/>
        <w:vertAlign w:val="baseline"/>
      </w:rPr>
    </w:lvl>
    <w:lvl w:ilvl="8">
      <w:start w:val="1"/>
      <w:numFmt w:val="decimal"/>
      <w:isLgl w:val="false"/>
      <w:suff w:val="tab"/>
      <w:lvlText w:val="%1.%2.%3.%4.%5.%6.%7.%8.%9."/>
      <w:lvlJc w:val="left"/>
      <w:pPr>
        <w:ind w:left="2880" w:hanging="666"/>
      </w:pPr>
      <w:rPr>
        <w:rFonts w:hAnsi="Arial Unicode MS"/>
        <w:caps w:val="0"/>
        <w:smallCaps w:val="0"/>
        <w:strike w:val="0"/>
        <w:color w:val="000000"/>
        <w:spacing w:val="0"/>
        <w:position w:val="0"/>
        <w:highlight w:val="none"/>
        <w:vertAlign w:val="baseline"/>
      </w:rPr>
    </w:lvl>
  </w:abstractNum>
  <w:abstractNum w:abstractNumId="52">
    <w:multiLevelType w:val="hybridMultilevel"/>
    <w:lvl w:ilvl="0">
      <w:start w:val="5"/>
      <w:numFmt w:val="decimal"/>
      <w:isLgl w:val="false"/>
      <w:suff w:val="tab"/>
      <w:lvlText w:val="%1."/>
      <w:lvlJc w:val="left"/>
      <w:pPr>
        <w:ind w:left="648" w:hanging="648"/>
      </w:pPr>
      <w:rPr>
        <w:rFonts w:hint="default"/>
      </w:rPr>
    </w:lvl>
    <w:lvl w:ilvl="1">
      <w:start w:val="3"/>
      <w:numFmt w:val="decimal"/>
      <w:isLgl w:val="false"/>
      <w:suff w:val="tab"/>
      <w:lvlText w:val="%1.%2."/>
      <w:lvlJc w:val="left"/>
      <w:pPr>
        <w:ind w:left="1170" w:hanging="720"/>
      </w:pPr>
      <w:rPr>
        <w:rFonts w:hint="default"/>
      </w:rPr>
    </w:lvl>
    <w:lvl w:ilvl="2">
      <w:start w:val="1"/>
      <w:numFmt w:val="decimal"/>
      <w:isLgl w:val="false"/>
      <w:suff w:val="tab"/>
      <w:lvlText w:val="%1.%2.%3."/>
      <w:lvlJc w:val="left"/>
      <w:pPr>
        <w:ind w:left="1620" w:hanging="720"/>
      </w:pPr>
      <w:rPr>
        <w:rFonts w:hint="default"/>
      </w:rPr>
    </w:lvl>
    <w:lvl w:ilvl="3">
      <w:start w:val="1"/>
      <w:numFmt w:val="decimal"/>
      <w:isLgl w:val="false"/>
      <w:suff w:val="tab"/>
      <w:lvlText w:val="%1.%2.%3.%4."/>
      <w:lvlJc w:val="left"/>
      <w:pPr>
        <w:ind w:left="2430" w:hanging="1080"/>
      </w:pPr>
      <w:rPr>
        <w:rFonts w:hint="default"/>
      </w:rPr>
    </w:lvl>
    <w:lvl w:ilvl="4">
      <w:start w:val="1"/>
      <w:numFmt w:val="decimal"/>
      <w:isLgl w:val="false"/>
      <w:suff w:val="tab"/>
      <w:lvlText w:val="%1.%2.%3.%4.%5."/>
      <w:lvlJc w:val="left"/>
      <w:pPr>
        <w:ind w:left="2880" w:hanging="1080"/>
      </w:pPr>
      <w:rPr>
        <w:rFonts w:hint="default"/>
      </w:rPr>
    </w:lvl>
    <w:lvl w:ilvl="5">
      <w:start w:val="1"/>
      <w:numFmt w:val="decimal"/>
      <w:isLgl w:val="false"/>
      <w:suff w:val="tab"/>
      <w:lvlText w:val="%1.%2.%3.%4.%5.%6."/>
      <w:lvlJc w:val="left"/>
      <w:pPr>
        <w:ind w:left="3690" w:hanging="1440"/>
      </w:pPr>
      <w:rPr>
        <w:rFonts w:hint="default"/>
      </w:rPr>
    </w:lvl>
    <w:lvl w:ilvl="6">
      <w:start w:val="1"/>
      <w:numFmt w:val="decimal"/>
      <w:isLgl w:val="false"/>
      <w:suff w:val="tab"/>
      <w:lvlText w:val="%1.%2.%3.%4.%5.%6.%7."/>
      <w:lvlJc w:val="left"/>
      <w:pPr>
        <w:ind w:left="4500" w:hanging="1800"/>
      </w:pPr>
      <w:rPr>
        <w:rFonts w:hint="default"/>
      </w:rPr>
    </w:lvl>
    <w:lvl w:ilvl="7">
      <w:start w:val="1"/>
      <w:numFmt w:val="decimal"/>
      <w:isLgl w:val="false"/>
      <w:suff w:val="tab"/>
      <w:lvlText w:val="%1.%2.%3.%4.%5.%6.%7.%8."/>
      <w:lvlJc w:val="left"/>
      <w:pPr>
        <w:ind w:left="4950" w:hanging="1800"/>
      </w:pPr>
      <w:rPr>
        <w:rFonts w:hint="default"/>
      </w:rPr>
    </w:lvl>
    <w:lvl w:ilvl="8">
      <w:start w:val="1"/>
      <w:numFmt w:val="decimal"/>
      <w:isLgl w:val="false"/>
      <w:suff w:val="tab"/>
      <w:lvlText w:val="%1.%2.%3.%4.%5.%6.%7.%8.%9."/>
      <w:lvlJc w:val="left"/>
      <w:pPr>
        <w:ind w:left="5760" w:hanging="2160"/>
      </w:pPr>
      <w:rPr>
        <w:rFonts w:hint="default"/>
      </w:rPr>
    </w:lvl>
  </w:abstractNum>
  <w:abstractNum w:abstractNumId="53">
    <w:multiLevelType w:val="hybridMultilevel"/>
    <w:styleLink w:val="1379"/>
    <w:lvl w:ilvl="0">
      <w:start w:val="1"/>
      <w:numFmt w:val="bullet"/>
      <w:pStyle w:val="1379"/>
      <w:isLgl w:val="false"/>
      <w:suff w:val="tab"/>
      <w:lvlText w:val="•"/>
      <w:lvlJc w:val="left"/>
      <w:pPr>
        <w:ind w:left="371" w:firstLine="338"/>
        <w:tabs>
          <w:tab w:val="left" w:pos="284" w:leader="none"/>
          <w:tab w:val="num" w:pos="1080" w:leader="none"/>
        </w:tabs>
      </w:pPr>
      <w:rPr>
        <w:rFonts w:ascii="Symbol" w:hAnsi="Symbol" w:eastAsia="Symbol" w:cs="Symbol"/>
        <w:b w:val="0"/>
        <w:bCs w:val="0"/>
        <w:i w:val="0"/>
        <w:iCs w:val="0"/>
        <w:caps w:val="0"/>
        <w:smallCaps w:val="0"/>
        <w:strike w:val="0"/>
        <w:color w:val="000000"/>
        <w:spacing w:val="0"/>
        <w:position w:val="0"/>
        <w:highlight w:val="none"/>
        <w:vertAlign w:val="baseline"/>
      </w:rPr>
    </w:lvl>
    <w:lvl w:ilvl="1">
      <w:start w:val="1"/>
      <w:numFmt w:val="bullet"/>
      <w:isLgl w:val="false"/>
      <w:suff w:val="tab"/>
      <w:lvlText w:val="o"/>
      <w:lvlJc w:val="left"/>
      <w:pPr>
        <w:ind w:left="720" w:firstLine="158"/>
        <w:tabs>
          <w:tab w:val="left" w:pos="284" w:leader="none"/>
          <w:tab w:val="num" w:pos="1429" w:leader="none"/>
        </w:tabs>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lvl w:ilvl="2">
      <w:start w:val="1"/>
      <w:numFmt w:val="bullet"/>
      <w:isLgl w:val="false"/>
      <w:suff w:val="tab"/>
      <w:lvlText w:val="▪"/>
      <w:lvlJc w:val="left"/>
      <w:pPr>
        <w:ind w:left="1440" w:firstLine="158"/>
        <w:tabs>
          <w:tab w:val="left" w:pos="284" w:leader="none"/>
          <w:tab w:val="left" w:pos="1080" w:leader="none"/>
          <w:tab w:val="num" w:pos="2149" w:leader="none"/>
        </w:tabs>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lvl w:ilvl="3">
      <w:start w:val="1"/>
      <w:numFmt w:val="bullet"/>
      <w:isLgl w:val="false"/>
      <w:suff w:val="tab"/>
      <w:lvlText w:val="•"/>
      <w:lvlJc w:val="left"/>
      <w:pPr>
        <w:ind w:left="2160" w:firstLine="158"/>
        <w:tabs>
          <w:tab w:val="left" w:pos="284" w:leader="none"/>
          <w:tab w:val="left" w:pos="1080" w:leader="none"/>
          <w:tab w:val="num" w:pos="2869" w:leader="none"/>
        </w:tabs>
      </w:pPr>
      <w:rPr>
        <w:rFonts w:ascii="Symbol" w:hAnsi="Symbol" w:eastAsia="Symbol" w:cs="Symbol"/>
        <w:b w:val="0"/>
        <w:bCs w:val="0"/>
        <w:i w:val="0"/>
        <w:iCs w:val="0"/>
        <w:caps w:val="0"/>
        <w:smallCaps w:val="0"/>
        <w:strike w:val="0"/>
        <w:color w:val="000000"/>
        <w:spacing w:val="0"/>
        <w:position w:val="0"/>
        <w:highlight w:val="none"/>
        <w:vertAlign w:val="baseline"/>
      </w:rPr>
    </w:lvl>
    <w:lvl w:ilvl="4">
      <w:start w:val="1"/>
      <w:numFmt w:val="bullet"/>
      <w:isLgl w:val="false"/>
      <w:suff w:val="tab"/>
      <w:lvlText w:val="o"/>
      <w:lvlJc w:val="left"/>
      <w:pPr>
        <w:ind w:left="2880" w:firstLine="158"/>
        <w:tabs>
          <w:tab w:val="left" w:pos="284" w:leader="none"/>
          <w:tab w:val="left" w:pos="1080" w:leader="none"/>
          <w:tab w:val="num" w:pos="3589" w:leader="none"/>
        </w:tabs>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lvl w:ilvl="5">
      <w:start w:val="1"/>
      <w:numFmt w:val="bullet"/>
      <w:isLgl w:val="false"/>
      <w:suff w:val="tab"/>
      <w:lvlText w:val="▪"/>
      <w:lvlJc w:val="left"/>
      <w:pPr>
        <w:ind w:left="3600" w:firstLine="158"/>
        <w:tabs>
          <w:tab w:val="left" w:pos="284" w:leader="none"/>
          <w:tab w:val="left" w:pos="1080" w:leader="none"/>
          <w:tab w:val="num" w:pos="4309" w:leader="none"/>
        </w:tabs>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lvl w:ilvl="6">
      <w:start w:val="1"/>
      <w:numFmt w:val="bullet"/>
      <w:isLgl w:val="false"/>
      <w:suff w:val="tab"/>
      <w:lvlText w:val="•"/>
      <w:lvlJc w:val="left"/>
      <w:pPr>
        <w:ind w:left="4320" w:firstLine="158"/>
        <w:tabs>
          <w:tab w:val="left" w:pos="284" w:leader="none"/>
          <w:tab w:val="left" w:pos="1080" w:leader="none"/>
          <w:tab w:val="num" w:pos="5029" w:leader="none"/>
        </w:tabs>
      </w:pPr>
      <w:rPr>
        <w:rFonts w:ascii="Symbol" w:hAnsi="Symbol" w:eastAsia="Symbol" w:cs="Symbol"/>
        <w:b w:val="0"/>
        <w:bCs w:val="0"/>
        <w:i w:val="0"/>
        <w:iCs w:val="0"/>
        <w:caps w:val="0"/>
        <w:smallCaps w:val="0"/>
        <w:strike w:val="0"/>
        <w:color w:val="000000"/>
        <w:spacing w:val="0"/>
        <w:position w:val="0"/>
        <w:highlight w:val="none"/>
        <w:vertAlign w:val="baseline"/>
      </w:rPr>
    </w:lvl>
    <w:lvl w:ilvl="7">
      <w:start w:val="1"/>
      <w:numFmt w:val="bullet"/>
      <w:isLgl w:val="false"/>
      <w:suff w:val="tab"/>
      <w:lvlText w:val="o"/>
      <w:lvlJc w:val="left"/>
      <w:pPr>
        <w:ind w:left="5040" w:firstLine="158"/>
        <w:tabs>
          <w:tab w:val="left" w:pos="284" w:leader="none"/>
          <w:tab w:val="left" w:pos="1080" w:leader="none"/>
          <w:tab w:val="num" w:pos="5749" w:leader="none"/>
        </w:tabs>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lvl w:ilvl="8">
      <w:start w:val="1"/>
      <w:numFmt w:val="bullet"/>
      <w:isLgl w:val="false"/>
      <w:suff w:val="tab"/>
      <w:lvlText w:val="▪"/>
      <w:lvlJc w:val="left"/>
      <w:pPr>
        <w:ind w:left="5760" w:firstLine="158"/>
        <w:tabs>
          <w:tab w:val="left" w:pos="284" w:leader="none"/>
          <w:tab w:val="left" w:pos="1080" w:leader="none"/>
          <w:tab w:val="num" w:pos="6469" w:leader="none"/>
        </w:tabs>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abstractNum>
  <w:abstractNum w:abstractNumId="54">
    <w:multiLevelType w:val="hybridMultilevel"/>
    <w:styleLink w:val="1395"/>
    <w:lvl w:ilvl="0">
      <w:start w:val="1"/>
      <w:numFmt w:val="bullet"/>
      <w:pStyle w:val="1395"/>
      <w:isLgl w:val="false"/>
      <w:suff w:val="tab"/>
      <w:lvlText w:val="-"/>
      <w:lvlJc w:val="left"/>
      <w:pPr>
        <w:ind w:left="284" w:firstLine="425"/>
        <w:tabs>
          <w:tab w:val="num" w:pos="993" w:leader="none"/>
          <w:tab w:val="left" w:pos="2149" w:leader="none"/>
        </w:tabs>
      </w:pPr>
      <w:rPr>
        <w:rFonts w:ascii="Times New Roman" w:hAnsi="Times New Roman" w:eastAsia="Times New Roman" w:cs="Times New Roman"/>
        <w:b w:val="0"/>
        <w:bCs w:val="0"/>
        <w:i w:val="0"/>
        <w:iCs w:val="0"/>
        <w:caps w:val="0"/>
        <w:smallCaps w:val="0"/>
        <w:strike w:val="0"/>
        <w:color w:val="000000"/>
        <w:spacing w:val="0"/>
        <w:position w:val="0"/>
        <w:highlight w:val="none"/>
        <w:vertAlign w:val="baseline"/>
      </w:rPr>
    </w:lvl>
    <w:lvl w:ilvl="1">
      <w:start w:val="1"/>
      <w:numFmt w:val="bullet"/>
      <w:isLgl w:val="false"/>
      <w:suff w:val="tab"/>
      <w:lvlText w:val="-"/>
      <w:lvlJc w:val="left"/>
      <w:pPr>
        <w:ind w:left="219" w:firstLine="490"/>
        <w:tabs>
          <w:tab w:val="num" w:pos="928" w:leader="none"/>
          <w:tab w:val="left" w:pos="993" w:leader="none"/>
          <w:tab w:val="left" w:pos="1211" w:leader="none"/>
        </w:tabs>
      </w:pPr>
      <w:rPr>
        <w:rFonts w:ascii="Times New Roman" w:hAnsi="Times New Roman" w:eastAsia="Times New Roman" w:cs="Times New Roman"/>
        <w:b w:val="0"/>
        <w:bCs w:val="0"/>
        <w:i w:val="0"/>
        <w:iCs w:val="0"/>
        <w:caps w:val="0"/>
        <w:smallCaps w:val="0"/>
        <w:strike w:val="0"/>
        <w:color w:val="000000"/>
        <w:spacing w:val="0"/>
        <w:position w:val="0"/>
        <w:highlight w:val="none"/>
        <w:vertAlign w:val="baseline"/>
      </w:rPr>
    </w:lvl>
    <w:lvl w:ilvl="2">
      <w:start w:val="1"/>
      <w:numFmt w:val="bullet"/>
      <w:isLgl w:val="false"/>
      <w:suff w:val="tab"/>
      <w:lvlText w:val="▪"/>
      <w:lvlJc w:val="left"/>
      <w:pPr>
        <w:ind w:left="1380" w:hanging="671"/>
      </w:pPr>
      <w:rPr>
        <w:rFonts w:ascii="Times New Roman" w:hAnsi="Times New Roman" w:eastAsia="Times New Roman" w:cs="Times New Roman"/>
        <w:b w:val="0"/>
        <w:bCs w:val="0"/>
        <w:i w:val="0"/>
        <w:iCs w:val="0"/>
        <w:caps w:val="0"/>
        <w:smallCaps w:val="0"/>
        <w:strike w:val="0"/>
        <w:color w:val="000000"/>
        <w:spacing w:val="0"/>
        <w:position w:val="0"/>
        <w:highlight w:val="none"/>
        <w:vertAlign w:val="baseline"/>
      </w:rPr>
    </w:lvl>
    <w:lvl w:ilvl="3">
      <w:start w:val="1"/>
      <w:numFmt w:val="bullet"/>
      <w:isLgl w:val="false"/>
      <w:suff w:val="tab"/>
      <w:lvlText w:val="•"/>
      <w:lvlJc w:val="left"/>
      <w:pPr>
        <w:ind w:left="1440" w:hanging="671"/>
      </w:pPr>
      <w:rPr>
        <w:rFonts w:ascii="Times New Roman" w:hAnsi="Times New Roman" w:eastAsia="Times New Roman" w:cs="Times New Roman"/>
        <w:b w:val="0"/>
        <w:bCs w:val="0"/>
        <w:i w:val="0"/>
        <w:iCs w:val="0"/>
        <w:caps w:val="0"/>
        <w:smallCaps w:val="0"/>
        <w:strike w:val="0"/>
        <w:color w:val="000000"/>
        <w:spacing w:val="0"/>
        <w:position w:val="0"/>
        <w:highlight w:val="none"/>
        <w:vertAlign w:val="baseline"/>
      </w:rPr>
    </w:lvl>
    <w:lvl w:ilvl="4">
      <w:start w:val="1"/>
      <w:numFmt w:val="bullet"/>
      <w:isLgl w:val="false"/>
      <w:suff w:val="tab"/>
      <w:lvlText w:val="o"/>
      <w:lvlJc w:val="left"/>
      <w:pPr>
        <w:ind w:left="2160" w:hanging="671"/>
        <w:tabs>
          <w:tab w:val="left" w:pos="928" w:leader="none"/>
          <w:tab w:val="left" w:pos="993" w:leader="none"/>
          <w:tab w:val="left" w:pos="1211" w:leader="none"/>
        </w:tabs>
      </w:pPr>
      <w:rPr>
        <w:rFonts w:ascii="Times New Roman" w:hAnsi="Times New Roman" w:eastAsia="Times New Roman" w:cs="Times New Roman"/>
        <w:b w:val="0"/>
        <w:bCs w:val="0"/>
        <w:i w:val="0"/>
        <w:iCs w:val="0"/>
        <w:caps w:val="0"/>
        <w:smallCaps w:val="0"/>
        <w:strike w:val="0"/>
        <w:color w:val="000000"/>
        <w:spacing w:val="0"/>
        <w:position w:val="0"/>
        <w:highlight w:val="none"/>
        <w:vertAlign w:val="baseline"/>
      </w:rPr>
    </w:lvl>
    <w:lvl w:ilvl="5">
      <w:start w:val="1"/>
      <w:numFmt w:val="bullet"/>
      <w:isLgl w:val="false"/>
      <w:suff w:val="tab"/>
      <w:lvlText w:val="▪"/>
      <w:lvlJc w:val="left"/>
      <w:pPr>
        <w:ind w:left="2880" w:hanging="671"/>
        <w:tabs>
          <w:tab w:val="left" w:pos="928" w:leader="none"/>
          <w:tab w:val="left" w:pos="993" w:leader="none"/>
          <w:tab w:val="left" w:pos="1211" w:leader="none"/>
        </w:tabs>
      </w:pPr>
      <w:rPr>
        <w:rFonts w:ascii="Times New Roman" w:hAnsi="Times New Roman" w:eastAsia="Times New Roman" w:cs="Times New Roman"/>
        <w:b w:val="0"/>
        <w:bCs w:val="0"/>
        <w:i w:val="0"/>
        <w:iCs w:val="0"/>
        <w:caps w:val="0"/>
        <w:smallCaps w:val="0"/>
        <w:strike w:val="0"/>
        <w:color w:val="000000"/>
        <w:spacing w:val="0"/>
        <w:position w:val="0"/>
        <w:highlight w:val="none"/>
        <w:vertAlign w:val="baseline"/>
      </w:rPr>
    </w:lvl>
    <w:lvl w:ilvl="6">
      <w:start w:val="1"/>
      <w:numFmt w:val="bullet"/>
      <w:isLgl w:val="false"/>
      <w:suff w:val="tab"/>
      <w:lvlText w:val="•"/>
      <w:lvlJc w:val="left"/>
      <w:pPr>
        <w:ind w:left="3600" w:hanging="671"/>
        <w:tabs>
          <w:tab w:val="left" w:pos="928" w:leader="none"/>
          <w:tab w:val="left" w:pos="993" w:leader="none"/>
          <w:tab w:val="left" w:pos="1211" w:leader="none"/>
        </w:tabs>
      </w:pPr>
      <w:rPr>
        <w:rFonts w:ascii="Times New Roman" w:hAnsi="Times New Roman" w:eastAsia="Times New Roman" w:cs="Times New Roman"/>
        <w:b w:val="0"/>
        <w:bCs w:val="0"/>
        <w:i w:val="0"/>
        <w:iCs w:val="0"/>
        <w:caps w:val="0"/>
        <w:smallCaps w:val="0"/>
        <w:strike w:val="0"/>
        <w:color w:val="000000"/>
        <w:spacing w:val="0"/>
        <w:position w:val="0"/>
        <w:highlight w:val="none"/>
        <w:vertAlign w:val="baseline"/>
      </w:rPr>
    </w:lvl>
    <w:lvl w:ilvl="7">
      <w:start w:val="1"/>
      <w:numFmt w:val="bullet"/>
      <w:isLgl w:val="false"/>
      <w:suff w:val="tab"/>
      <w:lvlText w:val="o"/>
      <w:lvlJc w:val="left"/>
      <w:pPr>
        <w:ind w:left="4320" w:hanging="671"/>
        <w:tabs>
          <w:tab w:val="left" w:pos="928" w:leader="none"/>
          <w:tab w:val="left" w:pos="993" w:leader="none"/>
          <w:tab w:val="left" w:pos="1211" w:leader="none"/>
        </w:tabs>
      </w:pPr>
      <w:rPr>
        <w:rFonts w:ascii="Times New Roman" w:hAnsi="Times New Roman" w:eastAsia="Times New Roman" w:cs="Times New Roman"/>
        <w:b w:val="0"/>
        <w:bCs w:val="0"/>
        <w:i w:val="0"/>
        <w:iCs w:val="0"/>
        <w:caps w:val="0"/>
        <w:smallCaps w:val="0"/>
        <w:strike w:val="0"/>
        <w:color w:val="000000"/>
        <w:spacing w:val="0"/>
        <w:position w:val="0"/>
        <w:highlight w:val="none"/>
        <w:vertAlign w:val="baseline"/>
      </w:rPr>
    </w:lvl>
    <w:lvl w:ilvl="8">
      <w:start w:val="1"/>
      <w:numFmt w:val="bullet"/>
      <w:isLgl w:val="false"/>
      <w:suff w:val="tab"/>
      <w:lvlText w:val="▪"/>
      <w:lvlJc w:val="left"/>
      <w:pPr>
        <w:ind w:left="5040" w:hanging="671"/>
        <w:tabs>
          <w:tab w:val="left" w:pos="928" w:leader="none"/>
          <w:tab w:val="left" w:pos="993" w:leader="none"/>
          <w:tab w:val="left" w:pos="1211" w:leader="none"/>
        </w:tabs>
      </w:pPr>
      <w:rPr>
        <w:rFonts w:ascii="Times New Roman" w:hAnsi="Times New Roman" w:eastAsia="Times New Roman" w:cs="Times New Roman"/>
        <w:b w:val="0"/>
        <w:bCs w:val="0"/>
        <w:i w:val="0"/>
        <w:iCs w:val="0"/>
        <w:caps w:val="0"/>
        <w:smallCaps w:val="0"/>
        <w:strike w:val="0"/>
        <w:color w:val="000000"/>
        <w:spacing w:val="0"/>
        <w:position w:val="0"/>
        <w:highlight w:val="none"/>
        <w:vertAlign w:val="baseline"/>
      </w:rPr>
    </w:lvl>
  </w:abstractNum>
  <w:abstractNum w:abstractNumId="55">
    <w:multiLevelType w:val="hybridMultilevel"/>
    <w:lvl w:ilvl="0">
      <w:start w:val="1"/>
      <w:numFmt w:val="decimal"/>
      <w:pStyle w:val="1631"/>
      <w:isLgl w:val="false"/>
      <w:suff w:val="tab"/>
      <w:lvlText w:val="%1."/>
      <w:lvlJc w:val="left"/>
      <w:pPr>
        <w:ind w:left="420" w:hanging="420"/>
        <w:tabs>
          <w:tab w:val="num" w:pos="420" w:leader="none"/>
        </w:tabs>
      </w:pPr>
      <w:rPr>
        <w:rFonts w:hint="default"/>
      </w:rPr>
    </w:lvl>
    <w:lvl w:ilvl="1">
      <w:start w:val="1"/>
      <w:numFmt w:val="decimal"/>
      <w:pStyle w:val="1625"/>
      <w:isLgl w:val="false"/>
      <w:suff w:val="tab"/>
      <w:lvlText w:val="%1.%2."/>
      <w:lvlJc w:val="left"/>
      <w:pPr>
        <w:ind w:left="6091" w:hanging="420"/>
        <w:tabs>
          <w:tab w:val="num" w:pos="6091" w:leader="none"/>
        </w:tabs>
      </w:pPr>
      <w:rPr>
        <w:rFonts w:hint="default"/>
        <w:b w:val="0"/>
        <w:i w:val="0"/>
        <w:color w:val="auto"/>
        <w:sz w:val="24"/>
        <w:szCs w:val="28"/>
      </w:rPr>
    </w:lvl>
    <w:lvl w:ilvl="2">
      <w:start w:val="1"/>
      <w:numFmt w:val="decimal"/>
      <w:pStyle w:val="1627"/>
      <w:isLgl w:val="false"/>
      <w:suff w:val="tab"/>
      <w:lvlText w:val="%1.%2.%3."/>
      <w:lvlJc w:val="left"/>
      <w:pPr>
        <w:ind w:left="2847" w:hanging="720"/>
        <w:tabs>
          <w:tab w:val="num" w:pos="2847" w:leader="none"/>
        </w:tabs>
      </w:pPr>
      <w:rPr>
        <w:rFonts w:hint="default"/>
        <w:b w:val="0"/>
      </w:rPr>
    </w:lvl>
    <w:lvl w:ilvl="3">
      <w:start w:val="1"/>
      <w:numFmt w:val="decimal"/>
      <w:pStyle w:val="1628"/>
      <w:isLgl w:val="false"/>
      <w:suff w:val="tab"/>
      <w:lvlText w:val="%1.%2.%3.%4."/>
      <w:lvlJc w:val="left"/>
      <w:pPr>
        <w:ind w:left="720" w:hanging="720"/>
        <w:tabs>
          <w:tab w:val="num" w:pos="720" w:leader="none"/>
        </w:tabs>
      </w:pPr>
      <w:rPr>
        <w:rFonts w:hint="default"/>
        <w:b w:val="0"/>
        <w:color w:val="auto"/>
      </w:rPr>
    </w:lvl>
    <w:lvl w:ilvl="4">
      <w:start w:val="1"/>
      <w:numFmt w:val="decimal"/>
      <w:pStyle w:val="1629"/>
      <w:isLgl w:val="false"/>
      <w:suff w:val="tab"/>
      <w:lvlText w:val="%1.%2.%3.%4.%5."/>
      <w:lvlJc w:val="left"/>
      <w:pPr>
        <w:ind w:left="1080" w:hanging="1080"/>
        <w:tabs>
          <w:tab w:val="num" w:pos="1080" w:leader="none"/>
        </w:tabs>
      </w:pPr>
      <w:rPr>
        <w:rFonts w:hint="default"/>
      </w:rPr>
    </w:lvl>
    <w:lvl w:ilvl="5">
      <w:start w:val="1"/>
      <w:numFmt w:val="decimal"/>
      <w:pStyle w:val="1630"/>
      <w:isLgl w:val="false"/>
      <w:suff w:val="tab"/>
      <w:lvlText w:val="%1.%2.%3.%4.%5.%6."/>
      <w:lvlJc w:val="left"/>
      <w:pPr>
        <w:ind w:left="1080" w:hanging="1080"/>
        <w:tabs>
          <w:tab w:val="num" w:pos="1080" w:leader="none"/>
        </w:tabs>
      </w:pPr>
      <w:rPr>
        <w:rFonts w:hint="default"/>
      </w:rPr>
    </w:lvl>
    <w:lvl w:ilvl="6">
      <w:start w:val="1"/>
      <w:numFmt w:val="decimal"/>
      <w:isLgl w:val="false"/>
      <w:suff w:val="tab"/>
      <w:lvlText w:val="%1.%2.%3.%4.%5.%6.%7."/>
      <w:lvlJc w:val="left"/>
      <w:pPr>
        <w:ind w:left="1440" w:hanging="1440"/>
        <w:tabs>
          <w:tab w:val="num" w:pos="1440" w:leader="none"/>
        </w:tabs>
      </w:pPr>
      <w:rPr>
        <w:rFonts w:hint="default"/>
      </w:rPr>
    </w:lvl>
    <w:lvl w:ilvl="7">
      <w:start w:val="1"/>
      <w:numFmt w:val="decimal"/>
      <w:isLgl w:val="false"/>
      <w:suff w:val="tab"/>
      <w:lvlText w:val="%1.%2.%3.%4.%5.%6.%7.%8."/>
      <w:lvlJc w:val="left"/>
      <w:pPr>
        <w:ind w:left="1440" w:hanging="1440"/>
        <w:tabs>
          <w:tab w:val="num" w:pos="1440" w:leader="none"/>
        </w:tabs>
      </w:pPr>
      <w:rPr>
        <w:rFonts w:hint="default"/>
      </w:rPr>
    </w:lvl>
    <w:lvl w:ilvl="8">
      <w:start w:val="1"/>
      <w:numFmt w:val="decimal"/>
      <w:isLgl w:val="false"/>
      <w:suff w:val="tab"/>
      <w:lvlText w:val="%1.%2.%3.%4.%5.%6.%7.%8.%9."/>
      <w:lvlJc w:val="left"/>
      <w:pPr>
        <w:ind w:left="1800" w:hanging="1800"/>
        <w:tabs>
          <w:tab w:val="num" w:pos="1800" w:leader="none"/>
        </w:tabs>
      </w:pPr>
      <w:rPr>
        <w:rFonts w:hint="default"/>
      </w:rPr>
    </w:lvl>
  </w:abstractNum>
  <w:abstractNum w:abstractNumId="56">
    <w:multiLevelType w:val="hybridMultilevel"/>
    <w:styleLink w:val="1326"/>
    <w:lvl w:ilvl="0">
      <w:start w:val="1"/>
      <w:numFmt w:val="decimal"/>
      <w:pStyle w:val="1326"/>
      <w:isLgl w:val="false"/>
      <w:suff w:val="tab"/>
      <w:lvlText w:val="%1."/>
      <w:lvlJc w:val="left"/>
      <w:pPr>
        <w:ind w:left="1728" w:hanging="1019"/>
      </w:pPr>
      <w:rPr>
        <w:rFonts w:hAnsi="Arial Unicode MS"/>
        <w:i/>
        <w:iCs/>
        <w:caps w:val="0"/>
        <w:smallCaps w:val="0"/>
        <w:strike w:val="0"/>
        <w:color w:val="000000"/>
        <w:spacing w:val="0"/>
        <w:position w:val="0"/>
        <w:highlight w:val="none"/>
        <w:vertAlign w:val="baseline"/>
      </w:rPr>
    </w:lvl>
    <w:lvl w:ilvl="1">
      <w:start w:val="1"/>
      <w:numFmt w:val="decimal"/>
      <w:isLgl w:val="false"/>
      <w:suff w:val="tab"/>
      <w:lvlText w:val="%2."/>
      <w:lvlJc w:val="left"/>
      <w:pPr>
        <w:ind w:left="551" w:firstLine="158"/>
        <w:tabs>
          <w:tab w:val="num" w:pos="1260" w:leader="none"/>
          <w:tab w:val="left" w:pos="1418" w:leader="none"/>
        </w:tabs>
      </w:pPr>
      <w:rPr>
        <w:rFonts w:hAnsi="Arial Unicode MS"/>
        <w:i/>
        <w:iCs/>
        <w:caps w:val="0"/>
        <w:smallCaps w:val="0"/>
        <w:strike w:val="0"/>
        <w:color w:val="000000"/>
        <w:spacing w:val="0"/>
        <w:position w:val="0"/>
        <w:highlight w:val="none"/>
        <w:vertAlign w:val="baseline"/>
      </w:rPr>
    </w:lvl>
    <w:lvl w:ilvl="2">
      <w:start w:val="1"/>
      <w:numFmt w:val="decimal"/>
      <w:isLgl w:val="false"/>
      <w:suff w:val="tab"/>
      <w:lvlText w:val="%2.%3."/>
      <w:lvlJc w:val="left"/>
      <w:pPr>
        <w:ind w:left="540" w:firstLine="540"/>
        <w:tabs>
          <w:tab w:val="num" w:pos="1249" w:leader="none"/>
          <w:tab w:val="left" w:pos="1260" w:leader="none"/>
          <w:tab w:val="left" w:pos="1418" w:leader="none"/>
        </w:tabs>
      </w:pPr>
      <w:rPr>
        <w:rFonts w:hAnsi="Arial Unicode MS"/>
        <w:i/>
        <w:iCs/>
        <w:caps w:val="0"/>
        <w:smallCaps w:val="0"/>
        <w:strike w:val="0"/>
        <w:color w:val="000000"/>
        <w:spacing w:val="0"/>
        <w:position w:val="0"/>
        <w:highlight w:val="none"/>
        <w:vertAlign w:val="baseline"/>
      </w:rPr>
    </w:lvl>
    <w:lvl w:ilvl="3">
      <w:start w:val="1"/>
      <w:numFmt w:val="decimal"/>
      <w:isLgl w:val="false"/>
      <w:suff w:val="tab"/>
      <w:lvlText w:val="%2.%3.%4."/>
      <w:lvlJc w:val="left"/>
      <w:pPr>
        <w:ind w:left="1631" w:hanging="922"/>
      </w:pPr>
      <w:rPr>
        <w:rFonts w:hAnsi="Arial Unicode MS"/>
        <w:i/>
        <w:iCs/>
        <w:caps w:val="0"/>
        <w:smallCaps w:val="0"/>
        <w:strike w:val="0"/>
        <w:color w:val="000000"/>
        <w:spacing w:val="0"/>
        <w:position w:val="0"/>
        <w:highlight w:val="none"/>
        <w:vertAlign w:val="baseline"/>
      </w:rPr>
    </w:lvl>
    <w:lvl w:ilvl="4">
      <w:start w:val="1"/>
      <w:numFmt w:val="decimal"/>
      <w:isLgl w:val="false"/>
      <w:suff w:val="tab"/>
      <w:lvlText w:val="%2.%3.%4.%5."/>
      <w:lvlJc w:val="left"/>
      <w:pPr>
        <w:ind w:left="1980" w:hanging="922"/>
      </w:pPr>
      <w:rPr>
        <w:rFonts w:hAnsi="Arial Unicode MS"/>
        <w:i/>
        <w:iCs/>
        <w:caps w:val="0"/>
        <w:smallCaps w:val="0"/>
        <w:strike w:val="0"/>
        <w:color w:val="000000"/>
        <w:spacing w:val="0"/>
        <w:position w:val="0"/>
        <w:highlight w:val="none"/>
        <w:vertAlign w:val="baseline"/>
      </w:rPr>
    </w:lvl>
    <w:lvl w:ilvl="5">
      <w:start w:val="1"/>
      <w:numFmt w:val="decimal"/>
      <w:isLgl w:val="false"/>
      <w:suff w:val="tab"/>
      <w:lvlText w:val="%2.%3.%4.%5.%6."/>
      <w:lvlJc w:val="left"/>
      <w:pPr>
        <w:ind w:left="2700" w:hanging="922"/>
        <w:tabs>
          <w:tab w:val="left" w:pos="1260" w:leader="none"/>
          <w:tab w:val="left" w:pos="1418" w:leader="none"/>
        </w:tabs>
      </w:pPr>
      <w:rPr>
        <w:rFonts w:hAnsi="Arial Unicode MS"/>
        <w:i/>
        <w:iCs/>
        <w:caps w:val="0"/>
        <w:smallCaps w:val="0"/>
        <w:strike w:val="0"/>
        <w:color w:val="000000"/>
        <w:spacing w:val="0"/>
        <w:position w:val="0"/>
        <w:highlight w:val="none"/>
        <w:vertAlign w:val="baseline"/>
      </w:rPr>
    </w:lvl>
    <w:lvl w:ilvl="6">
      <w:start w:val="1"/>
      <w:numFmt w:val="decimal"/>
      <w:isLgl w:val="false"/>
      <w:suff w:val="tab"/>
      <w:lvlText w:val="%2.%3.%4.%5.%6.%7."/>
      <w:lvlJc w:val="left"/>
      <w:pPr>
        <w:ind w:left="3780" w:hanging="1282"/>
        <w:tabs>
          <w:tab w:val="left" w:pos="1260" w:leader="none"/>
          <w:tab w:val="left" w:pos="1418" w:leader="none"/>
        </w:tabs>
      </w:pPr>
      <w:rPr>
        <w:rFonts w:hAnsi="Arial Unicode MS"/>
        <w:i/>
        <w:iCs/>
        <w:caps w:val="0"/>
        <w:smallCaps w:val="0"/>
        <w:strike w:val="0"/>
        <w:color w:val="000000"/>
        <w:spacing w:val="0"/>
        <w:position w:val="0"/>
        <w:highlight w:val="none"/>
        <w:vertAlign w:val="baseline"/>
      </w:rPr>
    </w:lvl>
    <w:lvl w:ilvl="7">
      <w:start w:val="1"/>
      <w:numFmt w:val="decimal"/>
      <w:isLgl w:val="false"/>
      <w:suff w:val="tab"/>
      <w:lvlText w:val="%2.%3.%4.%5.%6.%7.%8."/>
      <w:lvlJc w:val="left"/>
      <w:pPr>
        <w:ind w:left="4500" w:hanging="1282"/>
        <w:tabs>
          <w:tab w:val="left" w:pos="1260" w:leader="none"/>
          <w:tab w:val="left" w:pos="1418" w:leader="none"/>
        </w:tabs>
      </w:pPr>
      <w:rPr>
        <w:rFonts w:hAnsi="Arial Unicode MS"/>
        <w:i/>
        <w:iCs/>
        <w:caps w:val="0"/>
        <w:smallCaps w:val="0"/>
        <w:strike w:val="0"/>
        <w:color w:val="000000"/>
        <w:spacing w:val="0"/>
        <w:position w:val="0"/>
        <w:highlight w:val="none"/>
        <w:vertAlign w:val="baseline"/>
      </w:rPr>
    </w:lvl>
    <w:lvl w:ilvl="8">
      <w:start w:val="1"/>
      <w:numFmt w:val="decimal"/>
      <w:isLgl w:val="false"/>
      <w:suff w:val="tab"/>
      <w:lvlText w:val="%2.%3.%4.%5.%6.%7.%8.%9."/>
      <w:lvlJc w:val="left"/>
      <w:pPr>
        <w:ind w:left="5580" w:hanging="1642"/>
        <w:tabs>
          <w:tab w:val="left" w:pos="1260" w:leader="none"/>
          <w:tab w:val="left" w:pos="1418" w:leader="none"/>
        </w:tabs>
      </w:pPr>
      <w:rPr>
        <w:rFonts w:hAnsi="Arial Unicode MS"/>
        <w:i/>
        <w:iCs/>
        <w:caps w:val="0"/>
        <w:smallCaps w:val="0"/>
        <w:strike w:val="0"/>
        <w:color w:val="000000"/>
        <w:spacing w:val="0"/>
        <w:position w:val="0"/>
        <w:highlight w:val="none"/>
        <w:vertAlign w:val="baseline"/>
      </w:rPr>
    </w:lvl>
  </w:abstractNum>
  <w:abstractNum w:abstractNumId="57">
    <w:multiLevelType w:val="hybridMultilevel"/>
    <w:styleLink w:val="1393"/>
    <w:lvl w:ilvl="0">
      <w:start w:val="1"/>
      <w:numFmt w:val="decimal"/>
      <w:pStyle w:val="1393"/>
      <w:isLgl w:val="false"/>
      <w:suff w:val="tab"/>
      <w:lvlText w:val="%1."/>
      <w:lvlJc w:val="left"/>
      <w:pPr>
        <w:ind w:left="425" w:firstLine="284"/>
        <w:tabs>
          <w:tab w:val="left" w:pos="360" w:leader="none"/>
          <w:tab w:val="num" w:pos="1134" w:leader="none"/>
          <w:tab w:val="left" w:pos="1418" w:leader="none"/>
        </w:tabs>
      </w:pPr>
      <w:rPr>
        <w:rFonts w:hAnsi="Arial Unicode MS"/>
        <w:b/>
        <w:bCs/>
        <w:caps w:val="0"/>
        <w:smallCaps w:val="0"/>
        <w:strike w:val="0"/>
        <w:color w:val="000000"/>
        <w:spacing w:val="0"/>
        <w:position w:val="0"/>
        <w:highlight w:val="none"/>
        <w:vertAlign w:val="baseline"/>
      </w:rPr>
    </w:lvl>
    <w:lvl w:ilvl="1">
      <w:start w:val="1"/>
      <w:numFmt w:val="decimal"/>
      <w:isLgl w:val="false"/>
      <w:suff w:val="tab"/>
      <w:lvlText w:val="%1.%2."/>
      <w:lvlJc w:val="left"/>
      <w:pPr>
        <w:ind w:left="810" w:firstLine="540"/>
        <w:tabs>
          <w:tab w:val="left" w:pos="360" w:leader="none"/>
          <w:tab w:val="left" w:pos="1134" w:leader="none"/>
          <w:tab w:val="left" w:pos="1418" w:leader="none"/>
          <w:tab w:val="num" w:pos="1519" w:leader="none"/>
        </w:tabs>
      </w:pPr>
      <w:rPr>
        <w:rFonts w:hAnsi="Arial Unicode MS"/>
        <w:b/>
        <w:bCs/>
        <w:caps w:val="0"/>
        <w:smallCaps w:val="0"/>
        <w:strike w:val="0"/>
        <w:color w:val="000000"/>
        <w:spacing w:val="0"/>
        <w:position w:val="0"/>
        <w:highlight w:val="none"/>
        <w:vertAlign w:val="baseline"/>
      </w:rPr>
    </w:lvl>
    <w:lvl w:ilvl="2">
      <w:start w:val="1"/>
      <w:numFmt w:val="decimal"/>
      <w:isLgl w:val="false"/>
      <w:suff w:val="tab"/>
      <w:lvlText w:val="%1.%2.%3."/>
      <w:lvlJc w:val="left"/>
      <w:pPr>
        <w:ind w:left="1350" w:firstLine="374"/>
        <w:tabs>
          <w:tab w:val="left" w:pos="360" w:leader="none"/>
          <w:tab w:val="left" w:pos="1134" w:leader="none"/>
          <w:tab w:val="left" w:pos="1418" w:leader="none"/>
          <w:tab w:val="num" w:pos="2059" w:leader="none"/>
        </w:tabs>
      </w:pPr>
      <w:rPr>
        <w:rFonts w:hAnsi="Arial Unicode MS"/>
        <w:b/>
        <w:bCs/>
        <w:caps w:val="0"/>
        <w:smallCaps w:val="0"/>
        <w:strike w:val="0"/>
        <w:color w:val="000000"/>
        <w:spacing w:val="0"/>
        <w:position w:val="0"/>
        <w:highlight w:val="none"/>
        <w:vertAlign w:val="baseline"/>
      </w:rPr>
    </w:lvl>
    <w:lvl w:ilvl="3">
      <w:start w:val="1"/>
      <w:numFmt w:val="decimal"/>
      <w:isLgl w:val="false"/>
      <w:suff w:val="tab"/>
      <w:lvlText w:val="%1.%2.%3.%4."/>
      <w:lvlJc w:val="left"/>
      <w:pPr>
        <w:ind w:left="2250" w:firstLine="206"/>
        <w:tabs>
          <w:tab w:val="left" w:pos="360" w:leader="none"/>
          <w:tab w:val="left" w:pos="1134" w:leader="none"/>
          <w:tab w:val="left" w:pos="1418" w:leader="none"/>
          <w:tab w:val="num" w:pos="2959" w:leader="none"/>
        </w:tabs>
      </w:pPr>
      <w:rPr>
        <w:rFonts w:hAnsi="Arial Unicode MS"/>
        <w:b/>
        <w:bCs/>
        <w:caps w:val="0"/>
        <w:smallCaps w:val="0"/>
        <w:strike w:val="0"/>
        <w:color w:val="000000"/>
        <w:spacing w:val="0"/>
        <w:position w:val="0"/>
        <w:highlight w:val="none"/>
        <w:vertAlign w:val="baseline"/>
      </w:rPr>
    </w:lvl>
    <w:lvl w:ilvl="4">
      <w:start w:val="1"/>
      <w:numFmt w:val="decimal"/>
      <w:isLgl w:val="false"/>
      <w:suff w:val="tab"/>
      <w:lvlText w:val="%1.%2.%3.%4.%5."/>
      <w:lvlJc w:val="left"/>
      <w:pPr>
        <w:ind w:left="2790" w:firstLine="38"/>
        <w:tabs>
          <w:tab w:val="left" w:pos="360" w:leader="none"/>
          <w:tab w:val="left" w:pos="1134" w:leader="none"/>
          <w:tab w:val="left" w:pos="1418" w:leader="none"/>
          <w:tab w:val="num" w:pos="3499" w:leader="none"/>
        </w:tabs>
      </w:pPr>
      <w:rPr>
        <w:rFonts w:hAnsi="Arial Unicode MS"/>
        <w:b/>
        <w:bCs/>
        <w:caps w:val="0"/>
        <w:smallCaps w:val="0"/>
        <w:strike w:val="0"/>
        <w:color w:val="000000"/>
        <w:spacing w:val="0"/>
        <w:position w:val="0"/>
        <w:highlight w:val="none"/>
        <w:vertAlign w:val="baseline"/>
      </w:rPr>
    </w:lvl>
    <w:lvl w:ilvl="5">
      <w:start w:val="1"/>
      <w:numFmt w:val="decimal"/>
      <w:isLgl w:val="false"/>
      <w:suff w:val="tab"/>
      <w:lvlText w:val="%1.%2.%3.%4.%5.%6."/>
      <w:lvlJc w:val="left"/>
      <w:pPr>
        <w:ind w:left="3690" w:firstLine="428"/>
        <w:tabs>
          <w:tab w:val="left" w:pos="360" w:leader="none"/>
          <w:tab w:val="left" w:pos="1134" w:leader="none"/>
          <w:tab w:val="left" w:pos="1418" w:leader="none"/>
          <w:tab w:val="num" w:pos="4399" w:leader="none"/>
        </w:tabs>
      </w:pPr>
      <w:rPr>
        <w:rFonts w:hAnsi="Arial Unicode MS"/>
        <w:b/>
        <w:bCs/>
        <w:caps w:val="0"/>
        <w:smallCaps w:val="0"/>
        <w:strike w:val="0"/>
        <w:color w:val="000000"/>
        <w:spacing w:val="0"/>
        <w:position w:val="0"/>
        <w:highlight w:val="none"/>
        <w:vertAlign w:val="baseline"/>
      </w:rPr>
    </w:lvl>
    <w:lvl w:ilvl="6">
      <w:start w:val="1"/>
      <w:numFmt w:val="decimal"/>
      <w:isLgl w:val="false"/>
      <w:suff w:val="tab"/>
      <w:lvlText w:val="%1.%2.%3.%4.%5.%6.%7."/>
      <w:lvlJc w:val="left"/>
      <w:pPr>
        <w:ind w:left="4590" w:firstLine="68"/>
        <w:tabs>
          <w:tab w:val="left" w:pos="360" w:leader="none"/>
          <w:tab w:val="left" w:pos="1134" w:leader="none"/>
          <w:tab w:val="left" w:pos="1418" w:leader="none"/>
          <w:tab w:val="num" w:pos="5299" w:leader="none"/>
        </w:tabs>
      </w:pPr>
      <w:rPr>
        <w:rFonts w:hAnsi="Arial Unicode MS"/>
        <w:b/>
        <w:bCs/>
        <w:caps w:val="0"/>
        <w:smallCaps w:val="0"/>
        <w:strike w:val="0"/>
        <w:color w:val="000000"/>
        <w:spacing w:val="0"/>
        <w:position w:val="0"/>
        <w:highlight w:val="none"/>
        <w:vertAlign w:val="baseline"/>
      </w:rPr>
    </w:lvl>
    <w:lvl w:ilvl="7">
      <w:start w:val="1"/>
      <w:numFmt w:val="decimal"/>
      <w:isLgl w:val="false"/>
      <w:suff w:val="tab"/>
      <w:lvlText w:val="%1.%2.%3.%4.%5.%6.%7.%8."/>
      <w:lvlJc w:val="left"/>
      <w:pPr>
        <w:ind w:left="5130" w:firstLine="68"/>
        <w:tabs>
          <w:tab w:val="left" w:pos="360" w:leader="none"/>
          <w:tab w:val="left" w:pos="1134" w:leader="none"/>
          <w:tab w:val="left" w:pos="1418" w:leader="none"/>
          <w:tab w:val="num" w:pos="5839" w:leader="none"/>
        </w:tabs>
      </w:pPr>
      <w:rPr>
        <w:rFonts w:hAnsi="Arial Unicode MS"/>
        <w:b/>
        <w:bCs/>
        <w:caps w:val="0"/>
        <w:smallCaps w:val="0"/>
        <w:strike w:val="0"/>
        <w:color w:val="000000"/>
        <w:spacing w:val="0"/>
        <w:position w:val="0"/>
        <w:highlight w:val="none"/>
        <w:vertAlign w:val="baseline"/>
      </w:rPr>
    </w:lvl>
    <w:lvl w:ilvl="8">
      <w:start w:val="1"/>
      <w:numFmt w:val="decimal"/>
      <w:isLgl w:val="false"/>
      <w:suff w:val="tab"/>
      <w:lvlText w:val="%1.%2.%3.%4.%5.%6.%7.%8.%9."/>
      <w:lvlJc w:val="left"/>
      <w:pPr>
        <w:ind w:left="6030" w:hanging="292"/>
        <w:tabs>
          <w:tab w:val="left" w:pos="360" w:leader="none"/>
          <w:tab w:val="left" w:pos="1134" w:leader="none"/>
          <w:tab w:val="left" w:pos="1418" w:leader="none"/>
        </w:tabs>
      </w:pPr>
      <w:rPr>
        <w:rFonts w:hAnsi="Arial Unicode MS"/>
        <w:b/>
        <w:bCs/>
        <w:caps w:val="0"/>
        <w:smallCaps w:val="0"/>
        <w:strike w:val="0"/>
        <w:color w:val="000000"/>
        <w:spacing w:val="0"/>
        <w:position w:val="0"/>
        <w:highlight w:val="none"/>
        <w:vertAlign w:val="baseline"/>
      </w:rPr>
    </w:lvl>
  </w:abstractNum>
  <w:abstractNum w:abstractNumId="58">
    <w:multiLevelType w:val="hybridMultilevel"/>
    <w:styleLink w:val="1347"/>
    <w:lvl w:ilvl="0">
      <w:start w:val="1"/>
      <w:numFmt w:val="decimal"/>
      <w:pStyle w:val="1347"/>
      <w:isLgl w:val="false"/>
      <w:suff w:val="tab"/>
      <w:lvlText w:val="%1."/>
      <w:lvlJc w:val="left"/>
      <w:pPr>
        <w:ind w:left="709" w:firstLine="0"/>
        <w:tabs>
          <w:tab w:val="num" w:pos="1418" w:leader="none"/>
          <w:tab w:val="left" w:pos="1560" w:leader="none"/>
        </w:tabs>
      </w:pPr>
      <w:rPr>
        <w:rFonts w:hAnsi="Arial Unicode MS"/>
        <w:caps w:val="0"/>
        <w:smallCaps w:val="0"/>
        <w:strike w:val="0"/>
        <w:color w:val="000000"/>
        <w:spacing w:val="0"/>
        <w:position w:val="0"/>
        <w:highlight w:val="none"/>
        <w:vertAlign w:val="baseline"/>
      </w:rPr>
    </w:lvl>
    <w:lvl w:ilvl="1">
      <w:start w:val="1"/>
      <w:numFmt w:val="lowerLetter"/>
      <w:isLgl w:val="false"/>
      <w:suff w:val="tab"/>
      <w:lvlText w:val="%2."/>
      <w:lvlJc w:val="left"/>
      <w:pPr>
        <w:ind w:left="518" w:firstLine="518"/>
        <w:tabs>
          <w:tab w:val="num" w:pos="1227" w:leader="none"/>
          <w:tab w:val="left" w:pos="1418" w:leader="none"/>
          <w:tab w:val="left" w:pos="1560" w:leader="none"/>
        </w:tabs>
      </w:pPr>
      <w:rPr>
        <w:rFonts w:hAnsi="Arial Unicode MS"/>
        <w:caps w:val="0"/>
        <w:smallCaps w:val="0"/>
        <w:strike w:val="0"/>
        <w:color w:val="000000"/>
        <w:spacing w:val="0"/>
        <w:position w:val="0"/>
        <w:highlight w:val="none"/>
        <w:vertAlign w:val="baseline"/>
      </w:rPr>
    </w:lvl>
    <w:lvl w:ilvl="2">
      <w:start w:val="1"/>
      <w:numFmt w:val="lowerRoman"/>
      <w:isLgl w:val="false"/>
      <w:suff w:val="tab"/>
      <w:lvlText w:val="%3."/>
      <w:lvlJc w:val="left"/>
      <w:pPr>
        <w:ind w:left="1238" w:hanging="101"/>
        <w:tabs>
          <w:tab w:val="num" w:pos="1947" w:leader="none"/>
        </w:tabs>
      </w:pPr>
      <w:rPr>
        <w:rFonts w:hAnsi="Arial Unicode MS"/>
        <w:caps w:val="0"/>
        <w:smallCaps w:val="0"/>
        <w:strike w:val="0"/>
        <w:color w:val="000000"/>
        <w:spacing w:val="0"/>
        <w:position w:val="0"/>
        <w:highlight w:val="none"/>
        <w:vertAlign w:val="baseline"/>
      </w:rPr>
    </w:lvl>
    <w:lvl w:ilvl="3">
      <w:start w:val="1"/>
      <w:numFmt w:val="decimal"/>
      <w:isLgl w:val="false"/>
      <w:suff w:val="tab"/>
      <w:lvlText w:val="%4."/>
      <w:lvlJc w:val="left"/>
      <w:pPr>
        <w:ind w:left="1958" w:firstLine="544"/>
        <w:tabs>
          <w:tab w:val="left" w:pos="1418" w:leader="none"/>
          <w:tab w:val="left" w:pos="1560" w:leader="none"/>
          <w:tab w:val="num" w:pos="2667" w:leader="none"/>
        </w:tabs>
      </w:pPr>
      <w:rPr>
        <w:rFonts w:hAnsi="Arial Unicode MS"/>
        <w:caps w:val="0"/>
        <w:smallCaps w:val="0"/>
        <w:strike w:val="0"/>
        <w:color w:val="000000"/>
        <w:spacing w:val="0"/>
        <w:position w:val="0"/>
        <w:highlight w:val="none"/>
        <w:vertAlign w:val="baseline"/>
      </w:rPr>
    </w:lvl>
    <w:lvl w:ilvl="4">
      <w:start w:val="1"/>
      <w:numFmt w:val="lowerLetter"/>
      <w:isLgl w:val="false"/>
      <w:suff w:val="tab"/>
      <w:lvlText w:val="%5."/>
      <w:lvlJc w:val="left"/>
      <w:pPr>
        <w:ind w:left="2678" w:firstLine="556"/>
        <w:tabs>
          <w:tab w:val="left" w:pos="1418" w:leader="none"/>
          <w:tab w:val="left" w:pos="1560" w:leader="none"/>
          <w:tab w:val="num" w:pos="3387" w:leader="none"/>
        </w:tabs>
      </w:pPr>
      <w:rPr>
        <w:rFonts w:hAnsi="Arial Unicode MS"/>
        <w:caps w:val="0"/>
        <w:smallCaps w:val="0"/>
        <w:strike w:val="0"/>
        <w:color w:val="000000"/>
        <w:spacing w:val="0"/>
        <w:position w:val="0"/>
        <w:highlight w:val="none"/>
        <w:vertAlign w:val="baseline"/>
      </w:rPr>
    </w:lvl>
    <w:lvl w:ilvl="5">
      <w:start w:val="1"/>
      <w:numFmt w:val="lowerRoman"/>
      <w:isLgl w:val="false"/>
      <w:suff w:val="tab"/>
      <w:lvlText w:val="%6."/>
      <w:lvlJc w:val="left"/>
      <w:pPr>
        <w:ind w:left="3398" w:hanging="65"/>
        <w:tabs>
          <w:tab w:val="left" w:pos="1418" w:leader="none"/>
          <w:tab w:val="left" w:pos="1560" w:leader="none"/>
          <w:tab w:val="num" w:pos="4107" w:leader="none"/>
        </w:tabs>
      </w:pPr>
      <w:rPr>
        <w:rFonts w:hAnsi="Arial Unicode MS"/>
        <w:caps w:val="0"/>
        <w:smallCaps w:val="0"/>
        <w:strike w:val="0"/>
        <w:color w:val="000000"/>
        <w:spacing w:val="0"/>
        <w:position w:val="0"/>
        <w:highlight w:val="none"/>
        <w:vertAlign w:val="baseline"/>
      </w:rPr>
    </w:lvl>
    <w:lvl w:ilvl="6">
      <w:start w:val="1"/>
      <w:numFmt w:val="decimal"/>
      <w:isLgl w:val="false"/>
      <w:suff w:val="tab"/>
      <w:lvlText w:val="%7."/>
      <w:lvlJc w:val="left"/>
      <w:pPr>
        <w:ind w:left="4118" w:firstLine="580"/>
        <w:tabs>
          <w:tab w:val="left" w:pos="1418" w:leader="none"/>
          <w:tab w:val="left" w:pos="1560" w:leader="none"/>
          <w:tab w:val="num" w:pos="4827" w:leader="none"/>
        </w:tabs>
      </w:pPr>
      <w:rPr>
        <w:rFonts w:hAnsi="Arial Unicode MS"/>
        <w:caps w:val="0"/>
        <w:smallCaps w:val="0"/>
        <w:strike w:val="0"/>
        <w:color w:val="000000"/>
        <w:spacing w:val="0"/>
        <w:position w:val="0"/>
        <w:highlight w:val="none"/>
        <w:vertAlign w:val="baseline"/>
      </w:rPr>
    </w:lvl>
    <w:lvl w:ilvl="7">
      <w:start w:val="1"/>
      <w:numFmt w:val="lowerLetter"/>
      <w:isLgl w:val="false"/>
      <w:suff w:val="tab"/>
      <w:lvlText w:val="%8."/>
      <w:lvlJc w:val="left"/>
      <w:pPr>
        <w:ind w:left="4838" w:firstLine="592"/>
        <w:tabs>
          <w:tab w:val="left" w:pos="1418" w:leader="none"/>
          <w:tab w:val="left" w:pos="1560" w:leader="none"/>
          <w:tab w:val="num" w:pos="5547" w:leader="none"/>
        </w:tabs>
      </w:pPr>
      <w:rPr>
        <w:rFonts w:hAnsi="Arial Unicode MS"/>
        <w:caps w:val="0"/>
        <w:smallCaps w:val="0"/>
        <w:strike w:val="0"/>
        <w:color w:val="000000"/>
        <w:spacing w:val="0"/>
        <w:position w:val="0"/>
        <w:highlight w:val="none"/>
        <w:vertAlign w:val="baseline"/>
      </w:rPr>
    </w:lvl>
    <w:lvl w:ilvl="8">
      <w:start w:val="1"/>
      <w:numFmt w:val="lowerRoman"/>
      <w:isLgl w:val="false"/>
      <w:suff w:val="tab"/>
      <w:lvlText w:val="%9."/>
      <w:lvlJc w:val="left"/>
      <w:pPr>
        <w:ind w:left="5558" w:hanging="29"/>
        <w:tabs>
          <w:tab w:val="left" w:pos="1418" w:leader="none"/>
          <w:tab w:val="left" w:pos="1560" w:leader="none"/>
          <w:tab w:val="num" w:pos="6267" w:leader="none"/>
        </w:tabs>
      </w:pPr>
      <w:rPr>
        <w:rFonts w:hAnsi="Arial Unicode MS"/>
        <w:caps w:val="0"/>
        <w:smallCaps w:val="0"/>
        <w:strike w:val="0"/>
        <w:color w:val="000000"/>
        <w:spacing w:val="0"/>
        <w:position w:val="0"/>
        <w:highlight w:val="none"/>
        <w:vertAlign w:val="baseline"/>
      </w:rPr>
    </w:lvl>
  </w:abstractNum>
  <w:abstractNum w:abstractNumId="59">
    <w:multiLevelType w:val="hybridMultilevel"/>
    <w:styleLink w:val="1360"/>
    <w:lvl w:ilvl="0">
      <w:start w:val="1"/>
      <w:numFmt w:val="bullet"/>
      <w:pStyle w:val="1360"/>
      <w:isLgl w:val="false"/>
      <w:suff w:val="tab"/>
      <w:lvlText w:val="•"/>
      <w:lvlJc w:val="left"/>
      <w:pPr>
        <w:ind w:left="371" w:firstLine="338"/>
        <w:tabs>
          <w:tab w:val="num" w:pos="1080" w:leader="none"/>
        </w:tabs>
      </w:pPr>
      <w:rPr>
        <w:rFonts w:ascii="Symbol" w:hAnsi="Symbol" w:eastAsia="Symbol" w:cs="Symbol"/>
        <w:b w:val="0"/>
        <w:bCs w:val="0"/>
        <w:i w:val="0"/>
        <w:iCs w:val="0"/>
        <w:caps w:val="0"/>
        <w:smallCaps w:val="0"/>
        <w:strike w:val="0"/>
        <w:color w:val="000000"/>
        <w:spacing w:val="0"/>
        <w:position w:val="0"/>
        <w:highlight w:val="none"/>
        <w:vertAlign w:val="baseline"/>
      </w:rPr>
    </w:lvl>
    <w:lvl w:ilvl="1">
      <w:start w:val="1"/>
      <w:numFmt w:val="bullet"/>
      <w:isLgl w:val="false"/>
      <w:suff w:val="tab"/>
      <w:lvlText w:val="o"/>
      <w:lvlJc w:val="left"/>
      <w:pPr>
        <w:ind w:left="720" w:firstLine="14"/>
        <w:tabs>
          <w:tab w:val="num" w:pos="1429" w:leader="none"/>
        </w:tabs>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lvl w:ilvl="2">
      <w:start w:val="1"/>
      <w:numFmt w:val="bullet"/>
      <w:isLgl w:val="false"/>
      <w:suff w:val="tab"/>
      <w:lvlText w:val="▪"/>
      <w:lvlJc w:val="left"/>
      <w:pPr>
        <w:ind w:left="1440" w:firstLine="26"/>
        <w:tabs>
          <w:tab w:val="left" w:pos="1080" w:leader="none"/>
          <w:tab w:val="num" w:pos="2149" w:leader="none"/>
        </w:tabs>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lvl w:ilvl="3">
      <w:start w:val="1"/>
      <w:numFmt w:val="bullet"/>
      <w:isLgl w:val="false"/>
      <w:suff w:val="tab"/>
      <w:lvlText w:val="•"/>
      <w:lvlJc w:val="left"/>
      <w:pPr>
        <w:ind w:left="2160" w:firstLine="38"/>
        <w:tabs>
          <w:tab w:val="left" w:pos="1080" w:leader="none"/>
          <w:tab w:val="num" w:pos="2869" w:leader="none"/>
        </w:tabs>
      </w:pPr>
      <w:rPr>
        <w:rFonts w:ascii="Symbol" w:hAnsi="Symbol" w:eastAsia="Symbol" w:cs="Symbol"/>
        <w:b w:val="0"/>
        <w:bCs w:val="0"/>
        <w:i w:val="0"/>
        <w:iCs w:val="0"/>
        <w:caps w:val="0"/>
        <w:smallCaps w:val="0"/>
        <w:strike w:val="0"/>
        <w:color w:val="000000"/>
        <w:spacing w:val="0"/>
        <w:position w:val="0"/>
        <w:highlight w:val="none"/>
        <w:vertAlign w:val="baseline"/>
      </w:rPr>
    </w:lvl>
    <w:lvl w:ilvl="4">
      <w:start w:val="1"/>
      <w:numFmt w:val="bullet"/>
      <w:isLgl w:val="false"/>
      <w:suff w:val="tab"/>
      <w:lvlText w:val="o"/>
      <w:lvlJc w:val="left"/>
      <w:pPr>
        <w:ind w:left="2880" w:firstLine="50"/>
        <w:tabs>
          <w:tab w:val="left" w:pos="1080" w:leader="none"/>
          <w:tab w:val="num" w:pos="3589" w:leader="none"/>
        </w:tabs>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lvl w:ilvl="5">
      <w:start w:val="1"/>
      <w:numFmt w:val="bullet"/>
      <w:isLgl w:val="false"/>
      <w:suff w:val="tab"/>
      <w:lvlText w:val="▪"/>
      <w:lvlJc w:val="left"/>
      <w:pPr>
        <w:ind w:left="3600" w:firstLine="62"/>
        <w:tabs>
          <w:tab w:val="left" w:pos="1080" w:leader="none"/>
          <w:tab w:val="num" w:pos="4309" w:leader="none"/>
        </w:tabs>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lvl w:ilvl="6">
      <w:start w:val="1"/>
      <w:numFmt w:val="bullet"/>
      <w:isLgl w:val="false"/>
      <w:suff w:val="tab"/>
      <w:lvlText w:val="•"/>
      <w:lvlJc w:val="left"/>
      <w:pPr>
        <w:ind w:left="4320" w:firstLine="74"/>
        <w:tabs>
          <w:tab w:val="left" w:pos="1080" w:leader="none"/>
          <w:tab w:val="num" w:pos="5029" w:leader="none"/>
        </w:tabs>
      </w:pPr>
      <w:rPr>
        <w:rFonts w:ascii="Symbol" w:hAnsi="Symbol" w:eastAsia="Symbol" w:cs="Symbol"/>
        <w:b w:val="0"/>
        <w:bCs w:val="0"/>
        <w:i w:val="0"/>
        <w:iCs w:val="0"/>
        <w:caps w:val="0"/>
        <w:smallCaps w:val="0"/>
        <w:strike w:val="0"/>
        <w:color w:val="000000"/>
        <w:spacing w:val="0"/>
        <w:position w:val="0"/>
        <w:highlight w:val="none"/>
        <w:vertAlign w:val="baseline"/>
      </w:rPr>
    </w:lvl>
    <w:lvl w:ilvl="7">
      <w:start w:val="1"/>
      <w:numFmt w:val="bullet"/>
      <w:isLgl w:val="false"/>
      <w:suff w:val="tab"/>
      <w:lvlText w:val="o"/>
      <w:lvlJc w:val="left"/>
      <w:pPr>
        <w:ind w:left="5040" w:firstLine="86"/>
        <w:tabs>
          <w:tab w:val="left" w:pos="1080" w:leader="none"/>
          <w:tab w:val="num" w:pos="5749" w:leader="none"/>
        </w:tabs>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lvl w:ilvl="8">
      <w:start w:val="1"/>
      <w:numFmt w:val="bullet"/>
      <w:isLgl w:val="false"/>
      <w:suff w:val="tab"/>
      <w:lvlText w:val="▪"/>
      <w:lvlJc w:val="left"/>
      <w:pPr>
        <w:ind w:left="5760" w:firstLine="98"/>
        <w:tabs>
          <w:tab w:val="left" w:pos="1080" w:leader="none"/>
          <w:tab w:val="num" w:pos="6469" w:leader="none"/>
        </w:tabs>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abstractNum>
  <w:abstractNum w:abstractNumId="60">
    <w:multiLevelType w:val="hybridMultilevel"/>
    <w:styleLink w:val="1343"/>
    <w:lvl w:ilvl="0">
      <w:start w:val="1"/>
      <w:numFmt w:val="bullet"/>
      <w:pStyle w:val="1343"/>
      <w:isLgl w:val="false"/>
      <w:suff w:val="tab"/>
      <w:lvlText w:val="-"/>
      <w:lvlJc w:val="left"/>
      <w:pPr>
        <w:ind w:left="2207" w:hanging="427"/>
      </w:pPr>
      <w:rPr>
        <w:rFonts w:ascii="Arial" w:hAnsi="Arial" w:eastAsia="Arial" w:cs="Arial"/>
        <w:b w:val="0"/>
        <w:bCs w:val="0"/>
        <w:i w:val="0"/>
        <w:iCs w:val="0"/>
        <w:caps w:val="0"/>
        <w:smallCaps w:val="0"/>
        <w:strike w:val="0"/>
        <w:color w:val="000000"/>
        <w:spacing w:val="0"/>
        <w:position w:val="0"/>
        <w:highlight w:val="none"/>
        <w:vertAlign w:val="baseline"/>
      </w:rPr>
    </w:lvl>
    <w:lvl w:ilvl="1">
      <w:start w:val="1"/>
      <w:numFmt w:val="bullet"/>
      <w:isLgl w:val="false"/>
      <w:suff w:val="tab"/>
      <w:lvlText w:val="-"/>
      <w:lvlJc w:val="left"/>
      <w:pPr>
        <w:ind w:left="2207" w:hanging="427"/>
      </w:pPr>
      <w:rPr>
        <w:rFonts w:ascii="Arial" w:hAnsi="Arial" w:eastAsia="Arial" w:cs="Arial"/>
        <w:b w:val="0"/>
        <w:bCs w:val="0"/>
        <w:i w:val="0"/>
        <w:iCs w:val="0"/>
        <w:caps w:val="0"/>
        <w:smallCaps w:val="0"/>
        <w:strike w:val="0"/>
        <w:color w:val="000000"/>
        <w:spacing w:val="0"/>
        <w:position w:val="0"/>
        <w:highlight w:val="none"/>
        <w:vertAlign w:val="baseline"/>
      </w:rPr>
    </w:lvl>
    <w:lvl w:ilvl="2">
      <w:start w:val="1"/>
      <w:numFmt w:val="bullet"/>
      <w:isLgl w:val="false"/>
      <w:suff w:val="tab"/>
      <w:lvlText w:val="-"/>
      <w:lvlJc w:val="left"/>
      <w:pPr>
        <w:ind w:left="2207" w:hanging="427"/>
      </w:pPr>
      <w:rPr>
        <w:rFonts w:ascii="Arial" w:hAnsi="Arial" w:eastAsia="Arial" w:cs="Arial"/>
        <w:b w:val="0"/>
        <w:bCs w:val="0"/>
        <w:i w:val="0"/>
        <w:iCs w:val="0"/>
        <w:caps w:val="0"/>
        <w:smallCaps w:val="0"/>
        <w:strike w:val="0"/>
        <w:color w:val="000000"/>
        <w:spacing w:val="0"/>
        <w:position w:val="0"/>
        <w:highlight w:val="none"/>
        <w:vertAlign w:val="baseline"/>
      </w:rPr>
    </w:lvl>
    <w:lvl w:ilvl="3">
      <w:start w:val="1"/>
      <w:numFmt w:val="bullet"/>
      <w:isLgl w:val="false"/>
      <w:suff w:val="tab"/>
      <w:lvlText w:val="-"/>
      <w:lvlJc w:val="left"/>
      <w:pPr>
        <w:ind w:left="2207" w:hanging="427"/>
      </w:pPr>
      <w:rPr>
        <w:rFonts w:ascii="Arial" w:hAnsi="Arial" w:eastAsia="Arial" w:cs="Arial"/>
        <w:b w:val="0"/>
        <w:bCs w:val="0"/>
        <w:i w:val="0"/>
        <w:iCs w:val="0"/>
        <w:caps w:val="0"/>
        <w:smallCaps w:val="0"/>
        <w:strike w:val="0"/>
        <w:color w:val="000000"/>
        <w:spacing w:val="0"/>
        <w:position w:val="0"/>
        <w:highlight w:val="none"/>
        <w:vertAlign w:val="baseline"/>
      </w:rPr>
    </w:lvl>
    <w:lvl w:ilvl="4">
      <w:start w:val="1"/>
      <w:numFmt w:val="bullet"/>
      <w:isLgl w:val="false"/>
      <w:suff w:val="tab"/>
      <w:lvlText w:val="-"/>
      <w:lvlJc w:val="left"/>
      <w:pPr>
        <w:ind w:left="2207" w:hanging="427"/>
      </w:pPr>
      <w:rPr>
        <w:rFonts w:ascii="Arial" w:hAnsi="Arial" w:eastAsia="Arial" w:cs="Arial"/>
        <w:b w:val="0"/>
        <w:bCs w:val="0"/>
        <w:i w:val="0"/>
        <w:iCs w:val="0"/>
        <w:caps w:val="0"/>
        <w:smallCaps w:val="0"/>
        <w:strike w:val="0"/>
        <w:color w:val="000000"/>
        <w:spacing w:val="0"/>
        <w:position w:val="0"/>
        <w:highlight w:val="none"/>
        <w:vertAlign w:val="baseline"/>
      </w:rPr>
    </w:lvl>
    <w:lvl w:ilvl="5">
      <w:start w:val="1"/>
      <w:numFmt w:val="bullet"/>
      <w:isLgl w:val="false"/>
      <w:suff w:val="tab"/>
      <w:lvlText w:val="-"/>
      <w:lvlJc w:val="left"/>
      <w:pPr>
        <w:ind w:left="2207" w:hanging="427"/>
      </w:pPr>
      <w:rPr>
        <w:rFonts w:ascii="Arial" w:hAnsi="Arial" w:eastAsia="Arial" w:cs="Arial"/>
        <w:b w:val="0"/>
        <w:bCs w:val="0"/>
        <w:i w:val="0"/>
        <w:iCs w:val="0"/>
        <w:caps w:val="0"/>
        <w:smallCaps w:val="0"/>
        <w:strike w:val="0"/>
        <w:color w:val="000000"/>
        <w:spacing w:val="0"/>
        <w:position w:val="0"/>
        <w:highlight w:val="none"/>
        <w:vertAlign w:val="baseline"/>
      </w:rPr>
    </w:lvl>
    <w:lvl w:ilvl="6">
      <w:start w:val="1"/>
      <w:numFmt w:val="bullet"/>
      <w:isLgl w:val="false"/>
      <w:suff w:val="tab"/>
      <w:lvlText w:val="-"/>
      <w:lvlJc w:val="left"/>
      <w:pPr>
        <w:ind w:left="2207" w:hanging="427"/>
      </w:pPr>
      <w:rPr>
        <w:rFonts w:ascii="Arial" w:hAnsi="Arial" w:eastAsia="Arial" w:cs="Arial"/>
        <w:b w:val="0"/>
        <w:bCs w:val="0"/>
        <w:i w:val="0"/>
        <w:iCs w:val="0"/>
        <w:caps w:val="0"/>
        <w:smallCaps w:val="0"/>
        <w:strike w:val="0"/>
        <w:color w:val="000000"/>
        <w:spacing w:val="0"/>
        <w:position w:val="0"/>
        <w:highlight w:val="none"/>
        <w:vertAlign w:val="baseline"/>
      </w:rPr>
    </w:lvl>
    <w:lvl w:ilvl="7">
      <w:start w:val="1"/>
      <w:numFmt w:val="bullet"/>
      <w:isLgl w:val="false"/>
      <w:suff w:val="tab"/>
      <w:lvlText w:val="-"/>
      <w:lvlJc w:val="left"/>
      <w:pPr>
        <w:ind w:left="2207" w:hanging="427"/>
      </w:pPr>
      <w:rPr>
        <w:rFonts w:ascii="Arial" w:hAnsi="Arial" w:eastAsia="Arial" w:cs="Arial"/>
        <w:b w:val="0"/>
        <w:bCs w:val="0"/>
        <w:i w:val="0"/>
        <w:iCs w:val="0"/>
        <w:caps w:val="0"/>
        <w:smallCaps w:val="0"/>
        <w:strike w:val="0"/>
        <w:color w:val="000000"/>
        <w:spacing w:val="0"/>
        <w:position w:val="0"/>
        <w:highlight w:val="none"/>
        <w:vertAlign w:val="baseline"/>
      </w:rPr>
    </w:lvl>
    <w:lvl w:ilvl="8">
      <w:start w:val="1"/>
      <w:numFmt w:val="bullet"/>
      <w:isLgl w:val="false"/>
      <w:suff w:val="tab"/>
      <w:lvlText w:val="-"/>
      <w:lvlJc w:val="left"/>
      <w:pPr>
        <w:ind w:left="2207" w:hanging="427"/>
      </w:pPr>
      <w:rPr>
        <w:rFonts w:ascii="Arial" w:hAnsi="Arial" w:eastAsia="Arial" w:cs="Arial"/>
        <w:b w:val="0"/>
        <w:bCs w:val="0"/>
        <w:i w:val="0"/>
        <w:iCs w:val="0"/>
        <w:caps w:val="0"/>
        <w:smallCaps w:val="0"/>
        <w:strike w:val="0"/>
        <w:color w:val="000000"/>
        <w:spacing w:val="0"/>
        <w:position w:val="0"/>
        <w:highlight w:val="none"/>
        <w:vertAlign w:val="baseline"/>
      </w:rPr>
    </w:lvl>
  </w:abstractNum>
  <w:abstractNum w:abstractNumId="61">
    <w:multiLevelType w:val="hybridMultilevel"/>
    <w:styleLink w:val="1387"/>
    <w:lvl w:ilvl="0">
      <w:start w:val="1"/>
      <w:numFmt w:val="decimal"/>
      <w:pStyle w:val="1387"/>
      <w:isLgl w:val="false"/>
      <w:suff w:val="tab"/>
      <w:lvlText w:val="%1)"/>
      <w:lvlJc w:val="left"/>
      <w:pPr>
        <w:ind w:left="371" w:firstLine="338"/>
        <w:tabs>
          <w:tab w:val="left" w:pos="360" w:leader="none"/>
          <w:tab w:val="num" w:pos="1080" w:leader="none"/>
        </w:tabs>
      </w:pPr>
      <w:rPr>
        <w:rFonts w:hAnsi="Arial Unicode MS"/>
        <w:caps w:val="0"/>
        <w:smallCaps w:val="0"/>
        <w:strike w:val="0"/>
        <w:color w:val="000000"/>
        <w:spacing w:val="0"/>
        <w:position w:val="0"/>
        <w:highlight w:val="none"/>
        <w:vertAlign w:val="baseline"/>
      </w:rPr>
    </w:lvl>
    <w:lvl w:ilvl="1">
      <w:start w:val="1"/>
      <w:numFmt w:val="lowerLetter"/>
      <w:isLgl w:val="false"/>
      <w:suff w:val="tab"/>
      <w:lvlText w:val="%2."/>
      <w:lvlJc w:val="left"/>
      <w:pPr>
        <w:ind w:left="1080" w:firstLine="374"/>
        <w:tabs>
          <w:tab w:val="left" w:pos="360" w:leader="none"/>
          <w:tab w:val="left" w:pos="1080" w:leader="none"/>
          <w:tab w:val="num" w:pos="1789" w:leader="none"/>
        </w:tabs>
      </w:pPr>
      <w:rPr>
        <w:rFonts w:hAnsi="Arial Unicode MS"/>
        <w:caps w:val="0"/>
        <w:smallCaps w:val="0"/>
        <w:strike w:val="0"/>
        <w:color w:val="000000"/>
        <w:spacing w:val="0"/>
        <w:position w:val="0"/>
        <w:highlight w:val="none"/>
        <w:vertAlign w:val="baseline"/>
      </w:rPr>
    </w:lvl>
    <w:lvl w:ilvl="2">
      <w:start w:val="1"/>
      <w:numFmt w:val="lowerRoman"/>
      <w:isLgl w:val="false"/>
      <w:suff w:val="tab"/>
      <w:lvlText w:val="%3."/>
      <w:lvlJc w:val="left"/>
      <w:pPr>
        <w:ind w:left="1800" w:firstLine="461"/>
        <w:tabs>
          <w:tab w:val="left" w:pos="360" w:leader="none"/>
          <w:tab w:val="left" w:pos="1080" w:leader="none"/>
          <w:tab w:val="num" w:pos="2509" w:leader="none"/>
        </w:tabs>
      </w:pPr>
      <w:rPr>
        <w:rFonts w:hAnsi="Arial Unicode MS"/>
        <w:caps w:val="0"/>
        <w:smallCaps w:val="0"/>
        <w:strike w:val="0"/>
        <w:color w:val="000000"/>
        <w:spacing w:val="0"/>
        <w:position w:val="0"/>
        <w:highlight w:val="none"/>
        <w:vertAlign w:val="baseline"/>
      </w:rPr>
    </w:lvl>
    <w:lvl w:ilvl="3">
      <w:start w:val="1"/>
      <w:numFmt w:val="decimal"/>
      <w:isLgl w:val="false"/>
      <w:suff w:val="tab"/>
      <w:lvlText w:val="%4."/>
      <w:lvlJc w:val="left"/>
      <w:pPr>
        <w:ind w:left="2520" w:firstLine="398"/>
        <w:tabs>
          <w:tab w:val="left" w:pos="360" w:leader="none"/>
          <w:tab w:val="left" w:pos="1080" w:leader="none"/>
          <w:tab w:val="num" w:pos="3229" w:leader="none"/>
        </w:tabs>
      </w:pPr>
      <w:rPr>
        <w:rFonts w:hAnsi="Arial Unicode MS"/>
        <w:caps w:val="0"/>
        <w:smallCaps w:val="0"/>
        <w:strike w:val="0"/>
        <w:color w:val="000000"/>
        <w:spacing w:val="0"/>
        <w:position w:val="0"/>
        <w:highlight w:val="none"/>
        <w:vertAlign w:val="baseline"/>
      </w:rPr>
    </w:lvl>
    <w:lvl w:ilvl="4">
      <w:start w:val="1"/>
      <w:numFmt w:val="lowerLetter"/>
      <w:isLgl w:val="false"/>
      <w:suff w:val="tab"/>
      <w:lvlText w:val="%5."/>
      <w:lvlJc w:val="left"/>
      <w:pPr>
        <w:ind w:left="3240" w:firstLine="410"/>
        <w:tabs>
          <w:tab w:val="left" w:pos="360" w:leader="none"/>
          <w:tab w:val="left" w:pos="1080" w:leader="none"/>
          <w:tab w:val="num" w:pos="3949" w:leader="none"/>
        </w:tabs>
      </w:pPr>
      <w:rPr>
        <w:rFonts w:hAnsi="Arial Unicode MS"/>
        <w:caps w:val="0"/>
        <w:smallCaps w:val="0"/>
        <w:strike w:val="0"/>
        <w:color w:val="000000"/>
        <w:spacing w:val="0"/>
        <w:position w:val="0"/>
        <w:highlight w:val="none"/>
        <w:vertAlign w:val="baseline"/>
      </w:rPr>
    </w:lvl>
    <w:lvl w:ilvl="5">
      <w:start w:val="1"/>
      <w:numFmt w:val="lowerRoman"/>
      <w:isLgl w:val="false"/>
      <w:suff w:val="tab"/>
      <w:lvlText w:val="%6."/>
      <w:lvlJc w:val="left"/>
      <w:pPr>
        <w:ind w:left="3960" w:firstLine="497"/>
        <w:tabs>
          <w:tab w:val="left" w:pos="360" w:leader="none"/>
          <w:tab w:val="left" w:pos="1080" w:leader="none"/>
          <w:tab w:val="num" w:pos="4669" w:leader="none"/>
        </w:tabs>
      </w:pPr>
      <w:rPr>
        <w:rFonts w:hAnsi="Arial Unicode MS"/>
        <w:caps w:val="0"/>
        <w:smallCaps w:val="0"/>
        <w:strike w:val="0"/>
        <w:color w:val="000000"/>
        <w:spacing w:val="0"/>
        <w:position w:val="0"/>
        <w:highlight w:val="none"/>
        <w:vertAlign w:val="baseline"/>
      </w:rPr>
    </w:lvl>
    <w:lvl w:ilvl="6">
      <w:start w:val="1"/>
      <w:numFmt w:val="decimal"/>
      <w:isLgl w:val="false"/>
      <w:suff w:val="tab"/>
      <w:lvlText w:val="%7."/>
      <w:lvlJc w:val="left"/>
      <w:pPr>
        <w:ind w:left="4680" w:firstLine="434"/>
        <w:tabs>
          <w:tab w:val="left" w:pos="360" w:leader="none"/>
          <w:tab w:val="left" w:pos="1080" w:leader="none"/>
          <w:tab w:val="num" w:pos="5389" w:leader="none"/>
        </w:tabs>
      </w:pPr>
      <w:rPr>
        <w:rFonts w:hAnsi="Arial Unicode MS"/>
        <w:caps w:val="0"/>
        <w:smallCaps w:val="0"/>
        <w:strike w:val="0"/>
        <w:color w:val="000000"/>
        <w:spacing w:val="0"/>
        <w:position w:val="0"/>
        <w:highlight w:val="none"/>
        <w:vertAlign w:val="baseline"/>
      </w:rPr>
    </w:lvl>
    <w:lvl w:ilvl="7">
      <w:start w:val="1"/>
      <w:numFmt w:val="lowerLetter"/>
      <w:isLgl w:val="false"/>
      <w:suff w:val="tab"/>
      <w:lvlText w:val="%8."/>
      <w:lvlJc w:val="left"/>
      <w:pPr>
        <w:ind w:left="5400" w:firstLine="446"/>
        <w:tabs>
          <w:tab w:val="left" w:pos="360" w:leader="none"/>
          <w:tab w:val="left" w:pos="1080" w:leader="none"/>
          <w:tab w:val="num" w:pos="6109" w:leader="none"/>
        </w:tabs>
      </w:pPr>
      <w:rPr>
        <w:rFonts w:hAnsi="Arial Unicode MS"/>
        <w:caps w:val="0"/>
        <w:smallCaps w:val="0"/>
        <w:strike w:val="0"/>
        <w:color w:val="000000"/>
        <w:spacing w:val="0"/>
        <w:position w:val="0"/>
        <w:highlight w:val="none"/>
        <w:vertAlign w:val="baseline"/>
      </w:rPr>
    </w:lvl>
    <w:lvl w:ilvl="8">
      <w:start w:val="1"/>
      <w:numFmt w:val="lowerRoman"/>
      <w:isLgl w:val="false"/>
      <w:suff w:val="tab"/>
      <w:lvlText w:val="%9."/>
      <w:lvlJc w:val="left"/>
      <w:pPr>
        <w:ind w:left="6120" w:firstLine="533"/>
        <w:tabs>
          <w:tab w:val="left" w:pos="360" w:leader="none"/>
          <w:tab w:val="left" w:pos="1080" w:leader="none"/>
          <w:tab w:val="num" w:pos="6829" w:leader="none"/>
        </w:tabs>
      </w:pPr>
      <w:rPr>
        <w:rFonts w:hAnsi="Arial Unicode MS"/>
        <w:caps w:val="0"/>
        <w:smallCaps w:val="0"/>
        <w:strike w:val="0"/>
        <w:color w:val="000000"/>
        <w:spacing w:val="0"/>
        <w:position w:val="0"/>
        <w:highlight w:val="none"/>
        <w:vertAlign w:val="baseline"/>
      </w:rPr>
    </w:lvl>
  </w:abstractNum>
  <w:num w:numId="1">
    <w:abstractNumId w:val="56"/>
  </w:num>
  <w:num w:numId="2">
    <w:abstractNumId w:val="13"/>
  </w:num>
  <w:num w:numId="3">
    <w:abstractNumId w:val="11"/>
  </w:num>
  <w:num w:numId="4">
    <w:abstractNumId w:val="45"/>
  </w:num>
  <w:num w:numId="5">
    <w:abstractNumId w:val="3"/>
  </w:num>
  <w:num w:numId="6">
    <w:abstractNumId w:val="37"/>
  </w:num>
  <w:num w:numId="7">
    <w:abstractNumId w:val="12"/>
  </w:num>
  <w:num w:numId="8">
    <w:abstractNumId w:val="0"/>
  </w:num>
  <w:num w:numId="9">
    <w:abstractNumId w:val="10"/>
  </w:num>
  <w:num w:numId="10">
    <w:abstractNumId w:val="27"/>
  </w:num>
  <w:num w:numId="11">
    <w:abstractNumId w:val="60"/>
  </w:num>
  <w:num w:numId="12">
    <w:abstractNumId w:val="58"/>
  </w:num>
  <w:num w:numId="13">
    <w:abstractNumId w:val="47"/>
  </w:num>
  <w:num w:numId="14">
    <w:abstractNumId w:val="35"/>
  </w:num>
  <w:num w:numId="15">
    <w:abstractNumId w:val="34"/>
  </w:num>
  <w:num w:numId="16">
    <w:abstractNumId w:val="6"/>
  </w:num>
  <w:num w:numId="17">
    <w:abstractNumId w:val="22"/>
  </w:num>
  <w:num w:numId="18">
    <w:abstractNumId w:val="59"/>
  </w:num>
  <w:num w:numId="19">
    <w:abstractNumId w:val="23"/>
  </w:num>
  <w:num w:numId="20">
    <w:abstractNumId w:val="21"/>
  </w:num>
  <w:num w:numId="21">
    <w:abstractNumId w:val="15"/>
  </w:num>
  <w:num w:numId="22">
    <w:abstractNumId w:val="18"/>
  </w:num>
  <w:num w:numId="23">
    <w:abstractNumId w:val="9"/>
  </w:num>
  <w:num w:numId="24">
    <w:abstractNumId w:val="42"/>
  </w:num>
  <w:num w:numId="25">
    <w:abstractNumId w:val="43"/>
  </w:num>
  <w:num w:numId="26">
    <w:abstractNumId w:val="53"/>
  </w:num>
  <w:num w:numId="27">
    <w:abstractNumId w:val="19"/>
  </w:num>
  <w:num w:numId="28">
    <w:abstractNumId w:val="30"/>
  </w:num>
  <w:num w:numId="29">
    <w:abstractNumId w:val="41"/>
  </w:num>
  <w:num w:numId="30">
    <w:abstractNumId w:val="29"/>
  </w:num>
  <w:num w:numId="31">
    <w:abstractNumId w:val="25"/>
  </w:num>
  <w:num w:numId="32">
    <w:abstractNumId w:val="61"/>
  </w:num>
  <w:num w:numId="33">
    <w:abstractNumId w:val="17"/>
  </w:num>
  <w:num w:numId="34">
    <w:abstractNumId w:val="16"/>
  </w:num>
  <w:num w:numId="35">
    <w:abstractNumId w:val="57"/>
  </w:num>
  <w:num w:numId="36">
    <w:abstractNumId w:val="54"/>
  </w:num>
  <w:num w:numId="37">
    <w:abstractNumId w:val="48"/>
  </w:num>
  <w:num w:numId="38">
    <w:abstractNumId w:val="20"/>
  </w:num>
  <w:num w:numId="39">
    <w:abstractNumId w:val="50"/>
  </w:num>
  <w:num w:numId="40">
    <w:abstractNumId w:val="51"/>
  </w:num>
  <w:num w:numId="41">
    <w:abstractNumId w:val="31"/>
  </w:num>
  <w:num w:numId="42">
    <w:abstractNumId w:val="28"/>
  </w:num>
  <w:num w:numId="43">
    <w:abstractNumId w:val="36"/>
  </w:num>
  <w:num w:numId="44">
    <w:abstractNumId w:val="24"/>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6"/>
  </w:num>
  <w:num w:numId="46">
    <w:abstractNumId w:val="26"/>
  </w:num>
  <w:num w:numId="47">
    <w:abstractNumId w:val="44"/>
    <w:lvlOverride w:ilvl="0">
      <w:lvl w:ilvl="0">
        <w:start w:val="1"/>
        <w:numFmt w:val="bullet"/>
        <w:isLgl w:val="false"/>
        <w:suff w:val="tab"/>
        <w:lvlText w:val="-"/>
        <w:legacy w:legacy="1" w:legacyIndent="154" w:legacySpace="0"/>
        <w:lvlJc w:val="left"/>
        <w:pPr>
          <w:ind w:left="0" w:firstLine="0"/>
        </w:pPr>
        <w:rPr>
          <w:rFonts w:hint="default" w:ascii="Times New Roman" w:hAnsi="Times New Roman" w:cs="Times New Roman"/>
        </w:rPr>
      </w:lvl>
    </w:lvlOverride>
  </w:num>
  <w:num w:numId="48">
    <w:abstractNumId w:val="55"/>
  </w:num>
  <w:num w:numId="49">
    <w:abstractNumId w:val="52"/>
  </w:num>
  <w:num w:numId="50">
    <w:abstractNumId w:val="4"/>
  </w:num>
  <w:num w:numId="51">
    <w:abstractNumId w:val="7"/>
  </w:num>
  <w:num w:numId="52">
    <w:abstractNumId w:val="33"/>
  </w:num>
  <w:num w:numId="53">
    <w:abstractNumId w:val="2"/>
  </w:num>
  <w:num w:numId="54">
    <w:abstractNumId w:val="49"/>
  </w:num>
  <w:num w:numId="55">
    <w:abstractNumId w:val="8"/>
  </w:num>
  <w:num w:numId="56">
    <w:abstractNumId w:val="1"/>
    <w:lvlOverride w:ilvl="0">
      <w:startOverride w:val="1"/>
    </w:lvlOverride>
    <w:lvlOverride w:ilvl="1">
      <w:startOverride w:val="1"/>
    </w:lvlOverride>
    <w:lvlOverride w:ilvl="2">
      <w:startOverride w:val="1"/>
    </w:lvlOverride>
    <w:lvlOverride w:ilvl="3">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5"/>
    <w:lvlOverride w:ilvl="0">
      <w:startOverride w:val="3"/>
    </w:lvlOverride>
    <w:lvlOverride w:ilvl="1">
      <w:startOverride w:val="1"/>
    </w:lvlOverride>
    <w:lvlOverride w:ilvl="2">
      <w:startOverride w:val="1"/>
    </w:lvlOverride>
    <w:lvlOverride w:ilvl="3">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32"/>
  </w:num>
  <w:num w:numId="59">
    <w:abstractNumId w:val="14"/>
  </w:num>
  <w:num w:numId="60">
    <w:abstractNumId w:val="40"/>
  </w:num>
  <w:num w:numId="61">
    <w:abstractNumId w:val="39"/>
  </w:num>
  <w:num w:numId="62">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true"/>
  <w:documentProtection w:edit="trackedChanges" w:enforcement="0"/>
  <w:defaultTabStop w:val="708"/>
  <w:characterSpacingControl w:val="doNotCompress"/>
  <w:footnotePr>
    <w:pos w:val="pageBottom"/>
    <w:numFmt w:val="decimal"/>
    <w:numStart w:val="1"/>
    <w:numRestart w:val="continuous"/>
    <w:footnote w:id="-1"/>
    <w:footnote w:id="0"/>
    <w:footnote w:id="1"/>
  </w:footnotePr>
  <w:endnotePr>
    <w:pos w:val="docEnd"/>
    <w:numFmt w:val="lowerRoman"/>
    <w:numStart w:val="1"/>
    <w:numRestart w:val="continuous"/>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Theme="minorHAnsi" w:hAnsiTheme="minorHAnsi" w:eastAsiaTheme="minorHAnsi" w:cstheme="minorBidi"/>
        <w:sz w:val="22"/>
        <w:szCs w:val="22"/>
        <w:lang w:val="ru-RU" w:eastAsia="en-US" w:bidi="ar-SA"/>
      </w:rPr>
    </w:rPrDefault>
    <w:pPrDefault>
      <w:pPr>
        <w:spacing w:before="0" w:beforeAutospacing="0" w:after="160" w:afterAutospacing="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1146" w:default="1">
    <w:name w:val="Normal"/>
    <w:qFormat/>
    <w:pPr>
      <w:spacing w:after="200" w:line="276" w:lineRule="auto"/>
    </w:pPr>
  </w:style>
  <w:style w:type="paragraph" w:styleId="1147">
    <w:name w:val="Heading 1"/>
    <w:next w:val="1146"/>
    <w:link w:val="1306"/>
    <w:qFormat/>
    <w:pPr>
      <w:spacing w:line="240" w:lineRule="exact"/>
      <w:pBdr>
        <w:top w:val="none" w:color="000000" w:sz="4" w:space="0"/>
        <w:left w:val="none" w:color="000000" w:sz="4" w:space="0"/>
        <w:bottom w:val="none" w:color="000000" w:sz="4" w:space="0"/>
        <w:right w:val="none" w:color="000000" w:sz="4" w:space="0"/>
        <w:between w:val="none" w:color="000000" w:sz="4" w:space="0"/>
      </w:pBdr>
      <w:outlineLvl w:val="0"/>
    </w:pPr>
    <w:rPr>
      <w:rFonts w:ascii="Verdana" w:hAnsi="Verdana" w:eastAsia="Arial Unicode MS" w:cs="Arial Unicode MS"/>
      <w:color w:val="000000"/>
      <w:sz w:val="20"/>
      <w:szCs w:val="20"/>
      <w:lang w:val="en-US" w:eastAsia="ru-RU"/>
    </w:rPr>
  </w:style>
  <w:style w:type="paragraph" w:styleId="1148">
    <w:name w:val="Heading 2"/>
    <w:next w:val="1146"/>
    <w:link w:val="1307"/>
    <w:qFormat/>
    <w:pPr>
      <w:keepNext/>
      <w:spacing w:before="240" w:after="60" w:line="240" w:lineRule="auto"/>
      <w:pBdr>
        <w:top w:val="none" w:color="000000" w:sz="4" w:space="0"/>
        <w:left w:val="none" w:color="000000" w:sz="4" w:space="0"/>
        <w:bottom w:val="none" w:color="000000" w:sz="4" w:space="0"/>
        <w:right w:val="none" w:color="000000" w:sz="4" w:space="0"/>
        <w:between w:val="none" w:color="000000" w:sz="4" w:space="0"/>
      </w:pBdr>
      <w:outlineLvl w:val="1"/>
    </w:pPr>
    <w:rPr>
      <w:rFonts w:ascii="Cambria" w:hAnsi="Cambria" w:eastAsia="Cambria" w:cs="Cambria"/>
      <w:b/>
      <w:bCs/>
      <w:i/>
      <w:iCs/>
      <w:color w:val="000000"/>
      <w:sz w:val="28"/>
      <w:szCs w:val="28"/>
      <w:lang w:eastAsia="ru-RU"/>
    </w:rPr>
  </w:style>
  <w:style w:type="paragraph" w:styleId="1149">
    <w:name w:val="Heading 3"/>
    <w:basedOn w:val="1146"/>
    <w:next w:val="1146"/>
    <w:link w:val="1308"/>
    <w:qFormat/>
    <w:pPr>
      <w:ind w:left="1134" w:hanging="1134"/>
      <w:keepNext/>
      <w:spacing w:before="120" w:after="120" w:line="240" w:lineRule="auto"/>
      <w:tabs>
        <w:tab w:val="num" w:pos="1134" w:leader="none"/>
      </w:tabs>
      <w:outlineLvl w:val="2"/>
    </w:pPr>
    <w:rPr>
      <w:rFonts w:ascii="Times New Roman" w:hAnsi="Times New Roman" w:eastAsia="Calibri" w:cs="Times New Roman"/>
      <w:b/>
      <w:bCs/>
      <w:sz w:val="28"/>
      <w:szCs w:val="28"/>
    </w:rPr>
  </w:style>
  <w:style w:type="paragraph" w:styleId="1150">
    <w:name w:val="Heading 4"/>
    <w:next w:val="1146"/>
    <w:link w:val="1309"/>
    <w:qFormat/>
    <w:pPr>
      <w:ind w:left="567" w:hanging="567"/>
      <w:jc w:val="both"/>
      <w:keepNext/>
      <w:spacing w:before="240" w:after="120" w:line="240" w:lineRule="auto"/>
      <w:tabs>
        <w:tab w:val="left" w:pos="1134" w:leader="none"/>
        <w:tab w:val="left" w:pos="1701" w:leader="none"/>
      </w:tabs>
      <w:pBdr>
        <w:top w:val="none" w:color="000000" w:sz="4" w:space="0"/>
        <w:left w:val="none" w:color="000000" w:sz="4" w:space="0"/>
        <w:bottom w:val="none" w:color="000000" w:sz="4" w:space="0"/>
        <w:right w:val="none" w:color="000000" w:sz="4" w:space="0"/>
        <w:between w:val="none" w:color="000000" w:sz="4" w:space="0"/>
      </w:pBdr>
      <w:outlineLvl w:val="3"/>
    </w:pPr>
    <w:rPr>
      <w:rFonts w:ascii="Times New Roman" w:hAnsi="Times New Roman" w:eastAsia="Times New Roman" w:cs="Times New Roman"/>
      <w:b/>
      <w:bCs/>
      <w:i/>
      <w:iCs/>
      <w:color w:val="000000"/>
      <w:sz w:val="28"/>
      <w:szCs w:val="28"/>
      <w:lang w:eastAsia="ru-RU"/>
    </w:rPr>
  </w:style>
  <w:style w:type="paragraph" w:styleId="1151">
    <w:name w:val="Heading 5"/>
    <w:basedOn w:val="1146"/>
    <w:next w:val="1146"/>
    <w:link w:val="1310"/>
    <w:unhideWhenUsed/>
    <w:qFormat/>
    <w:pPr>
      <w:keepLines/>
      <w:keepNext/>
      <w:spacing w:before="200" w:after="0"/>
      <w:outlineLvl w:val="4"/>
    </w:pPr>
    <w:rPr>
      <w:rFonts w:asciiTheme="majorHAnsi" w:hAnsiTheme="majorHAnsi" w:eastAsiaTheme="majorEastAsia" w:cstheme="majorBidi"/>
      <w:color w:val="1f4d78" w:themeColor="accent1" w:themeShade="7F"/>
    </w:rPr>
  </w:style>
  <w:style w:type="paragraph" w:styleId="1152">
    <w:name w:val="Heading 6"/>
    <w:basedOn w:val="1146"/>
    <w:next w:val="1146"/>
    <w:link w:val="1311"/>
    <w:unhideWhenUsed/>
    <w:qFormat/>
    <w:pPr>
      <w:keepLines/>
      <w:keepNext/>
      <w:spacing w:before="200" w:after="0"/>
      <w:outlineLvl w:val="5"/>
    </w:pPr>
    <w:rPr>
      <w:rFonts w:asciiTheme="majorHAnsi" w:hAnsiTheme="majorHAnsi" w:eastAsiaTheme="majorEastAsia" w:cstheme="majorBidi"/>
      <w:i/>
      <w:iCs/>
      <w:color w:val="1f4d78" w:themeColor="accent1" w:themeShade="7F"/>
    </w:rPr>
  </w:style>
  <w:style w:type="paragraph" w:styleId="1153">
    <w:name w:val="Heading 7"/>
    <w:basedOn w:val="1146"/>
    <w:next w:val="1146"/>
    <w:link w:val="1312"/>
    <w:qFormat/>
    <w:pPr>
      <w:jc w:val="both"/>
      <w:spacing w:before="240" w:after="60" w:line="360" w:lineRule="auto"/>
      <w:widowControl w:val="off"/>
      <w:tabs>
        <w:tab w:val="num" w:pos="360" w:leader="none"/>
      </w:tabs>
      <w:outlineLvl w:val="6"/>
    </w:pPr>
    <w:rPr>
      <w:rFonts w:ascii="Times New Roman" w:hAnsi="Times New Roman" w:eastAsia="Calibri" w:cs="Times New Roman"/>
      <w:sz w:val="26"/>
      <w:szCs w:val="26"/>
    </w:rPr>
  </w:style>
  <w:style w:type="paragraph" w:styleId="1154">
    <w:name w:val="Heading 8"/>
    <w:basedOn w:val="1146"/>
    <w:next w:val="1146"/>
    <w:link w:val="1313"/>
    <w:qFormat/>
    <w:pPr>
      <w:jc w:val="both"/>
      <w:spacing w:before="240" w:after="60" w:line="360" w:lineRule="auto"/>
      <w:widowControl w:val="off"/>
      <w:tabs>
        <w:tab w:val="num" w:pos="360" w:leader="none"/>
      </w:tabs>
      <w:outlineLvl w:val="7"/>
    </w:pPr>
    <w:rPr>
      <w:rFonts w:ascii="Times New Roman" w:hAnsi="Times New Roman" w:eastAsia="Times New Roman" w:cs="Times New Roman"/>
      <w:i/>
      <w:iCs/>
      <w:sz w:val="26"/>
      <w:szCs w:val="26"/>
    </w:rPr>
  </w:style>
  <w:style w:type="paragraph" w:styleId="1155">
    <w:name w:val="Heading 9"/>
    <w:basedOn w:val="1146"/>
    <w:next w:val="1146"/>
    <w:link w:val="1314"/>
    <w:qFormat/>
    <w:pPr>
      <w:jc w:val="both"/>
      <w:spacing w:before="240" w:after="60" w:line="360" w:lineRule="auto"/>
      <w:widowControl w:val="off"/>
      <w:tabs>
        <w:tab w:val="num" w:pos="360" w:leader="none"/>
      </w:tabs>
      <w:outlineLvl w:val="8"/>
    </w:pPr>
    <w:rPr>
      <w:rFonts w:ascii="Arial" w:hAnsi="Arial" w:eastAsia="Times New Roman" w:cs="Times New Roman"/>
    </w:rPr>
  </w:style>
  <w:style w:type="character" w:styleId="1156" w:default="1">
    <w:name w:val="Default Paragraph Font"/>
    <w:uiPriority w:val="1"/>
    <w:semiHidden/>
    <w:unhideWhenUsed/>
  </w:style>
  <w:style w:type="table" w:styleId="1157" w:default="1">
    <w:name w:val="Normal Table"/>
    <w:uiPriority w:val="99"/>
    <w:semiHidden/>
    <w:unhideWhenUsed/>
    <w:tblPr>
      <w:tblInd w:w="0" w:type="dxa"/>
      <w:tblCellMar>
        <w:left w:w="108" w:type="dxa"/>
        <w:top w:w="0" w:type="dxa"/>
        <w:right w:w="108" w:type="dxa"/>
        <w:bottom w:w="0" w:type="dxa"/>
      </w:tblCellMar>
    </w:tblPr>
  </w:style>
  <w:style w:type="numbering" w:styleId="1158" w:default="1">
    <w:name w:val="No List"/>
    <w:uiPriority w:val="99"/>
    <w:semiHidden/>
    <w:unhideWhenUsed/>
  </w:style>
  <w:style w:type="character" w:styleId="1159" w:customStyle="1">
    <w:name w:val="Subtitle Char"/>
    <w:basedOn w:val="1156"/>
    <w:uiPriority w:val="11"/>
    <w:rPr>
      <w:sz w:val="24"/>
      <w:szCs w:val="24"/>
    </w:rPr>
  </w:style>
  <w:style w:type="character" w:styleId="1160" w:customStyle="1">
    <w:name w:val="Quote Char"/>
    <w:uiPriority w:val="29"/>
    <w:rPr>
      <w:i/>
    </w:rPr>
  </w:style>
  <w:style w:type="character" w:styleId="1161" w:customStyle="1">
    <w:name w:val="Intense Quote Char"/>
    <w:uiPriority w:val="30"/>
    <w:rPr>
      <w:i/>
    </w:rPr>
  </w:style>
  <w:style w:type="character" w:styleId="1162" w:customStyle="1">
    <w:name w:val="Heading 2 Char"/>
    <w:basedOn w:val="1156"/>
    <w:uiPriority w:val="9"/>
    <w:rPr>
      <w:rFonts w:ascii="Arial" w:hAnsi="Arial" w:eastAsia="Arial" w:cs="Arial"/>
      <w:sz w:val="34"/>
    </w:rPr>
  </w:style>
  <w:style w:type="character" w:styleId="1163" w:customStyle="1">
    <w:name w:val="Heading 3 Char"/>
    <w:basedOn w:val="1156"/>
    <w:uiPriority w:val="9"/>
    <w:rPr>
      <w:rFonts w:ascii="Arial" w:hAnsi="Arial" w:eastAsia="Arial" w:cs="Arial"/>
      <w:sz w:val="30"/>
      <w:szCs w:val="30"/>
    </w:rPr>
  </w:style>
  <w:style w:type="character" w:styleId="1164" w:customStyle="1">
    <w:name w:val="Heading 4 Char"/>
    <w:basedOn w:val="1156"/>
    <w:uiPriority w:val="9"/>
    <w:rPr>
      <w:rFonts w:ascii="Arial" w:hAnsi="Arial" w:eastAsia="Arial" w:cs="Arial"/>
      <w:b/>
      <w:bCs/>
      <w:sz w:val="26"/>
      <w:szCs w:val="26"/>
    </w:rPr>
  </w:style>
  <w:style w:type="character" w:styleId="1165" w:customStyle="1">
    <w:name w:val="Heading 5 Char"/>
    <w:basedOn w:val="1156"/>
    <w:uiPriority w:val="9"/>
    <w:rPr>
      <w:rFonts w:ascii="Arial" w:hAnsi="Arial" w:eastAsia="Arial" w:cs="Arial"/>
      <w:b/>
      <w:bCs/>
      <w:sz w:val="24"/>
      <w:szCs w:val="24"/>
    </w:rPr>
  </w:style>
  <w:style w:type="character" w:styleId="1166" w:customStyle="1">
    <w:name w:val="Heading 6 Char"/>
    <w:basedOn w:val="1156"/>
    <w:uiPriority w:val="9"/>
    <w:rPr>
      <w:rFonts w:ascii="Arial" w:hAnsi="Arial" w:eastAsia="Arial" w:cs="Arial"/>
      <w:b/>
      <w:bCs/>
      <w:sz w:val="22"/>
      <w:szCs w:val="22"/>
    </w:rPr>
  </w:style>
  <w:style w:type="character" w:styleId="1167" w:customStyle="1">
    <w:name w:val="Heading 7 Char"/>
    <w:basedOn w:val="1156"/>
    <w:uiPriority w:val="9"/>
    <w:rPr>
      <w:rFonts w:ascii="Arial" w:hAnsi="Arial" w:eastAsia="Arial" w:cs="Arial"/>
      <w:b/>
      <w:bCs/>
      <w:i/>
      <w:iCs/>
      <w:sz w:val="22"/>
      <w:szCs w:val="22"/>
    </w:rPr>
  </w:style>
  <w:style w:type="character" w:styleId="1168" w:customStyle="1">
    <w:name w:val="Heading 8 Char"/>
    <w:basedOn w:val="1156"/>
    <w:uiPriority w:val="9"/>
    <w:rPr>
      <w:rFonts w:ascii="Arial" w:hAnsi="Arial" w:eastAsia="Arial" w:cs="Arial"/>
      <w:i/>
      <w:iCs/>
      <w:sz w:val="22"/>
      <w:szCs w:val="22"/>
    </w:rPr>
  </w:style>
  <w:style w:type="character" w:styleId="1169" w:customStyle="1">
    <w:name w:val="Heading 9 Char"/>
    <w:basedOn w:val="1156"/>
    <w:uiPriority w:val="9"/>
    <w:rPr>
      <w:rFonts w:ascii="Arial" w:hAnsi="Arial" w:eastAsia="Arial" w:cs="Arial"/>
      <w:i/>
      <w:iCs/>
      <w:sz w:val="21"/>
      <w:szCs w:val="21"/>
    </w:rPr>
  </w:style>
  <w:style w:type="paragraph" w:styleId="1170">
    <w:name w:val="Subtitle"/>
    <w:basedOn w:val="1146"/>
    <w:next w:val="1146"/>
    <w:link w:val="1171"/>
    <w:uiPriority w:val="11"/>
    <w:qFormat/>
    <w:pPr>
      <w:spacing w:before="200"/>
    </w:pPr>
    <w:rPr>
      <w:sz w:val="24"/>
      <w:szCs w:val="24"/>
    </w:rPr>
  </w:style>
  <w:style w:type="character" w:styleId="1171" w:customStyle="1">
    <w:name w:val="Подзаголовок Знак"/>
    <w:basedOn w:val="1156"/>
    <w:link w:val="1170"/>
    <w:uiPriority w:val="11"/>
    <w:rPr>
      <w:sz w:val="24"/>
      <w:szCs w:val="24"/>
    </w:rPr>
  </w:style>
  <w:style w:type="paragraph" w:styleId="1172">
    <w:name w:val="Quote"/>
    <w:basedOn w:val="1146"/>
    <w:next w:val="1146"/>
    <w:link w:val="1173"/>
    <w:uiPriority w:val="29"/>
    <w:qFormat/>
    <w:pPr>
      <w:ind w:left="720" w:right="720"/>
    </w:pPr>
    <w:rPr>
      <w:i/>
    </w:rPr>
  </w:style>
  <w:style w:type="character" w:styleId="1173" w:customStyle="1">
    <w:name w:val="Цитата 2 Знак"/>
    <w:link w:val="1172"/>
    <w:uiPriority w:val="29"/>
    <w:rPr>
      <w:i/>
    </w:rPr>
  </w:style>
  <w:style w:type="paragraph" w:styleId="1174">
    <w:name w:val="Intense Quote"/>
    <w:basedOn w:val="1146"/>
    <w:next w:val="1146"/>
    <w:link w:val="1175"/>
    <w:uiPriority w:val="30"/>
    <w:qFormat/>
    <w:pPr>
      <w:ind w:left="720" w:right="720"/>
      <w:shd w:val="clear" w:color="auto" w:fill="f2f2f2"/>
      <w:pBdr>
        <w:top w:val="single" w:color="FFFFFF" w:sz="4" w:space="5"/>
        <w:left w:val="single" w:color="FFFFFF" w:sz="4" w:space="10"/>
        <w:bottom w:val="single" w:color="FFFFFF" w:sz="4" w:space="5"/>
        <w:right w:val="single" w:color="FFFFFF" w:sz="4" w:space="10"/>
      </w:pBdr>
    </w:pPr>
    <w:rPr>
      <w:i/>
    </w:rPr>
  </w:style>
  <w:style w:type="character" w:styleId="1175" w:customStyle="1">
    <w:name w:val="Выделенная цитата Знак"/>
    <w:link w:val="1174"/>
    <w:uiPriority w:val="30"/>
    <w:rPr>
      <w:i/>
    </w:rPr>
  </w:style>
  <w:style w:type="character" w:styleId="1176" w:customStyle="1">
    <w:name w:val="Footer Char"/>
    <w:basedOn w:val="1156"/>
    <w:uiPriority w:val="99"/>
  </w:style>
  <w:style w:type="character" w:styleId="1177" w:customStyle="1">
    <w:name w:val="Caption Char"/>
    <w:uiPriority w:val="99"/>
  </w:style>
  <w:style w:type="table" w:styleId="1178" w:customStyle="1">
    <w:name w:val="Table Grid Light"/>
    <w:basedOn w:val="1157"/>
    <w:uiPriority w:val="59"/>
    <w:pPr>
      <w:spacing w:after="0" w:line="240" w:lineRule="auto"/>
    </w:pPr>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style>
  <w:style w:type="table" w:styleId="1179">
    <w:name w:val="Plain Table 1"/>
    <w:basedOn w:val="1157"/>
    <w:uiPriority w:val="59"/>
    <w:pPr>
      <w:spacing w:after="0" w:line="240" w:lineRule="auto"/>
    </w:pPr>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tblStylePr w:type="band1Horz">
      <w:tcPr>
        <w:shd w:val="clear" w:color="f2f2f2" w:themeColor="text1" w:themeTint="0D" w:fill="f2f2f2" w:themeFill="text1" w:themeFillTint="0D"/>
      </w:tcPr>
    </w:tblStylePr>
    <w:tblStylePr w:type="band1Vert">
      <w:tcPr>
        <w:shd w:val="clear" w:color="f2f2f2" w:themeColor="text1" w:themeTint="0D" w:fill="f2f2f2" w:themeFill="text1" w:themeFillTint="0D"/>
      </w:tcPr>
    </w:tblStylePr>
    <w:tblStylePr w:type="firstCol">
      <w:rPr>
        <w:rFonts w:ascii="Arial" w:hAnsi="Arial"/>
        <w:b/>
        <w:color w:val="404040"/>
        <w:sz w:val="22"/>
      </w:rPr>
    </w:tblStylePr>
    <w:tblStylePr w:type="firstRow">
      <w:rPr>
        <w:rFonts w:ascii="Arial" w:hAnsi="Arial"/>
        <w:b/>
        <w:color w:val="404040"/>
        <w:sz w:val="22"/>
      </w:rPr>
    </w:tblStylePr>
    <w:tblStylePr w:type="lastCol">
      <w:rPr>
        <w:rFonts w:ascii="Arial" w:hAnsi="Arial"/>
        <w:b/>
        <w:color w:val="404040"/>
        <w:sz w:val="22"/>
      </w:rPr>
    </w:tblStylePr>
    <w:tblStylePr w:type="lastRow">
      <w:rPr>
        <w:rFonts w:ascii="Arial" w:hAnsi="Arial"/>
        <w:b/>
        <w:color w:val="404040"/>
        <w:sz w:val="22"/>
      </w:rPr>
    </w:tblStylePr>
  </w:style>
  <w:style w:type="table" w:styleId="1180">
    <w:name w:val="Plain Table 2"/>
    <w:basedOn w:val="1157"/>
    <w:uiPriority w:val="59"/>
    <w:pPr>
      <w:spacing w:after="0" w:line="240" w:lineRule="auto"/>
    </w:pPr>
    <w:tblPr>
      <w:tblBorders>
        <w:top w:val="single" w:color="000000" w:themeColor="text1" w:sz="4" w:space="0"/>
        <w:left w:val="none" w:color="000000" w:themeColor="text1" w:sz="4" w:space="0"/>
        <w:bottom w:val="single" w:color="000000" w:themeColor="text1" w:sz="4" w:space="0"/>
        <w:right w:val="none" w:color="000000" w:themeColor="text1" w:sz="4" w:space="0"/>
      </w:tblBorders>
    </w:tblPr>
    <w:tblStylePr w:type="band1Horz">
      <w:tcPr>
        <w:tcBorders>
          <w:top w:val="single" w:color="000000" w:themeColor="text1" w:sz="4" w:space="0"/>
          <w:bottom w:val="single" w:color="000000" w:themeColor="text1" w:sz="4" w:space="0"/>
        </w:tcBorders>
      </w:tc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Col">
      <w:rPr>
        <w:rFonts w:ascii="Arial" w:hAnsi="Arial"/>
        <w:b/>
        <w:color w:val="404040"/>
        <w:sz w:val="22"/>
      </w:rPr>
    </w:tblStylePr>
    <w:tblStylePr w:type="lastRow">
      <w:rPr>
        <w:rFonts w:ascii="Arial" w:hAnsi="Arial"/>
        <w:b/>
        <w:color w:val="404040"/>
        <w:sz w:val="22"/>
      </w:rPr>
    </w:tblStylePr>
  </w:style>
  <w:style w:type="table" w:styleId="1181">
    <w:name w:val="Plain Table 3"/>
    <w:basedOn w:val="1157"/>
    <w:uiPriority w:val="99"/>
    <w:pPr>
      <w:spacing w:after="0" w:line="240" w:lineRule="auto"/>
    </w:pPr>
    <w:tblPr>
      <w:tblStyleRowBandSize w:val="1"/>
      <w:tblStyleColBandSize w:val="1"/>
    </w:tblPr>
    <w:tblStylePr w:type="band1Horz">
      <w:rPr>
        <w:rFonts w:ascii="Arial" w:hAnsi="Arial"/>
        <w:color w:val="404040"/>
        <w:sz w:val="22"/>
      </w:rPr>
      <w:tcPr>
        <w:shd w:val="clear" w:color="f2f2f2" w:themeColor="text1" w:themeTint="0D" w:fill="f2f2f2" w:themeFill="text1" w:themeFillTint="0D"/>
      </w:tcPr>
    </w:tblStylePr>
    <w:tblStylePr w:type="band1Vert">
      <w:rPr>
        <w:rFonts w:ascii="Arial" w:hAnsi="Arial"/>
        <w:color w:val="404040"/>
        <w:sz w:val="22"/>
      </w:rPr>
      <w:tcPr>
        <w:shd w:val="clear" w:color="f2f2f2" w:themeColor="text1" w:themeTint="0D" w:fill="f2f2f2" w:themeFill="text1" w:themeFillTint="0D"/>
      </w:tcPr>
    </w:tblStylePr>
    <w:tblStylePr w:type="firstCol">
      <w:rPr>
        <w:b/>
        <w:caps/>
        <w:color w:val="404040"/>
      </w:r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tblStylePr>
    <w:tblStylePr w:type="lastRow">
      <w:rPr>
        <w:b/>
        <w:caps/>
        <w:color w:val="404040"/>
      </w:rPr>
    </w:tblStylePr>
  </w:style>
  <w:style w:type="table" w:styleId="1182">
    <w:name w:val="Plain Table 4"/>
    <w:basedOn w:val="1157"/>
    <w:uiPriority w:val="99"/>
    <w:pPr>
      <w:spacing w:after="0" w:line="240" w:lineRule="auto"/>
    </w:pPr>
    <w:tblPr>
      <w:tblStyleRowBandSize w:val="1"/>
      <w:tblStyleColBandSize w:val="1"/>
    </w:tblPr>
    <w:tblStylePr w:type="band1Horz">
      <w:rPr>
        <w:rFonts w:ascii="Arial" w:hAnsi="Arial"/>
        <w:color w:val="404040"/>
        <w:sz w:val="22"/>
      </w:rPr>
      <w:tcPr>
        <w:shd w:val="clear" w:color="f2f2f2" w:themeColor="text1" w:themeTint="0D" w:fill="f2f2f2" w:themeFill="text1" w:themeFillTint="0D"/>
      </w:tcPr>
    </w:tblStylePr>
    <w:tblStylePr w:type="band1Vert">
      <w:rPr>
        <w:rFonts w:ascii="Arial" w:hAnsi="Arial"/>
        <w:color w:val="404040"/>
        <w:sz w:val="22"/>
      </w:rPr>
      <w:tcPr>
        <w:shd w:val="clear" w:color="f2f2f2" w:themeColor="text1" w:themeTint="0D" w:fill="f2f2f2" w:themeFill="text1" w:themeFillTint="0D"/>
      </w:tc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style>
  <w:style w:type="table" w:styleId="1183">
    <w:name w:val="Plain Table 5"/>
    <w:basedOn w:val="1157"/>
    <w:uiPriority w:val="99"/>
    <w:pPr>
      <w:spacing w:after="0" w:line="240" w:lineRule="auto"/>
    </w:pPr>
    <w:tblPr>
      <w:tblStyleRowBandSize w:val="1"/>
      <w:tblStyleColBandSize w:val="1"/>
    </w:tblPr>
    <w:tblStylePr w:type="band1Horz">
      <w:rPr>
        <w:rFonts w:ascii="Arial" w:hAnsi="Arial"/>
        <w:color w:val="404040"/>
        <w:sz w:val="22"/>
      </w:rPr>
      <w:tcPr>
        <w:shd w:val="clear" w:color="f2f2f2" w:themeColor="text1" w:themeTint="0D" w:fill="f2f2f2" w:themeFill="text1" w:themeFillTint="0D"/>
      </w:tcPr>
    </w:tblStylePr>
    <w:tblStylePr w:type="band1Vert">
      <w:rPr>
        <w:rFonts w:ascii="Arial" w:hAnsi="Arial"/>
        <w:color w:val="404040"/>
        <w:sz w:val="22"/>
      </w:rPr>
      <w:tcPr>
        <w:shd w:val="clear" w:color="f2f2f2" w:themeColor="text1" w:themeTint="0D" w:fill="f2f2f2" w:themeFill="text1" w:themeFillTint="0D"/>
      </w:tcPr>
    </w:tblStylePr>
    <w:tblStylePr w:type="firstCol">
      <w:rPr>
        <w:i/>
        <w:color w:val="404040"/>
      </w:rPr>
      <w:pPr>
        <w:jc w:val="right"/>
      </w:pPr>
      <w:tcPr>
        <w:shd w:val="clear" w:color="ffffff" w:fill="auto"/>
        <w:tcBorders>
          <w:right w:val="single" w:color="404040" w:sz="4" w:space="0"/>
        </w:tcBorders>
      </w:tcPr>
    </w:tblStylePr>
    <w:tblStylePr w:type="firstRow">
      <w:rPr>
        <w:i/>
        <w:color w:val="404040"/>
      </w:rPr>
      <w:tcPr>
        <w:shd w:val="clear" w:color="ffffff" w:fill="auto"/>
        <w:tcBorders>
          <w:left w:val="none" w:color="000000" w:sz="4" w:space="0"/>
          <w:bottom w:val="single" w:color="404040" w:sz="4" w:space="0"/>
          <w:right w:val="none" w:color="000000" w:sz="4" w:space="0"/>
        </w:tcBorders>
      </w:tcPr>
    </w:tblStylePr>
    <w:tblStylePr w:type="lastCol">
      <w:rPr>
        <w:i/>
        <w:color w:val="404040"/>
      </w:rPr>
      <w:tcPr>
        <w:shd w:val="clear" w:color="ffffff" w:fill="auto"/>
        <w:tcBorders>
          <w:left w:val="single" w:color="404040" w:sz="4" w:space="0"/>
        </w:tcBorders>
      </w:tcPr>
    </w:tblStylePr>
    <w:tblStylePr w:type="lastRow">
      <w:rPr>
        <w:i/>
        <w:color w:val="404040"/>
      </w:rPr>
      <w:tcPr>
        <w:shd w:val="clear" w:color="ffffff" w:fill="auto"/>
        <w:tcBorders>
          <w:top w:val="single" w:color="404040" w:sz="4" w:space="0"/>
          <w:left w:val="none" w:color="000000" w:sz="4" w:space="0"/>
          <w:right w:val="none" w:color="000000" w:sz="4" w:space="0"/>
        </w:tcBorders>
      </w:tcPr>
    </w:tblStylePr>
  </w:style>
  <w:style w:type="table" w:styleId="1184">
    <w:name w:val="Grid Table 1 Light"/>
    <w:basedOn w:val="1157"/>
    <w:uiPriority w:val="99"/>
    <w:pPr>
      <w:spacing w:after="0" w:line="240" w:lineRule="auto"/>
    </w:pPr>
    <w:tblPr>
      <w:tblStyleRowBandSize w:val="1"/>
      <w:tblStyleColBandSize w:val="1"/>
      <w:tbl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insideH w:val="single" w:color="989898" w:themeColor="text1" w:themeTint="67" w:sz="4" w:space="0"/>
        <w:insideV w:val="single" w:color="989898" w:themeColor="text1" w:themeTint="67" w:sz="4" w:space="0"/>
      </w:tblBorders>
    </w:tblPr>
    <w:tblStylePr w:type="band1Horz">
      <w:rPr>
        <w:rFonts w:ascii="Arial" w:hAnsi="Arial"/>
        <w:color w:val="404040"/>
        <w:sz w:val="22"/>
      </w:rPr>
      <w:tcPr>
        <w:tc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tcBorders>
      </w:tcPr>
    </w:tblStylePr>
    <w:tblStylePr w:type="firstCol">
      <w:rPr>
        <w:b/>
        <w:color w:val="404040"/>
      </w:rPr>
    </w:tblStylePr>
    <w:tblStylePr w:type="firstRow">
      <w:rPr>
        <w:b/>
        <w:color w:val="404040"/>
      </w:rPr>
      <w:tcPr>
        <w:tcBorders>
          <w:bottom w:val="single" w:color="6A6A6A" w:themeColor="text1" w:themeTint="95" w:sz="12" w:space="0"/>
        </w:tcBorders>
      </w:tcPr>
    </w:tblStylePr>
    <w:tblStylePr w:type="lastCol">
      <w:rPr>
        <w:b/>
        <w:color w:val="404040"/>
      </w:rPr>
    </w:tblStylePr>
    <w:tblStylePr w:type="lastRow">
      <w:rPr>
        <w:b/>
        <w:color w:val="404040"/>
      </w:rPr>
    </w:tblStylePr>
  </w:style>
  <w:style w:type="table" w:styleId="1185" w:customStyle="1">
    <w:name w:val="Grid Table 1 Light - Accent 1"/>
    <w:basedOn w:val="1157"/>
    <w:uiPriority w:val="99"/>
    <w:pPr>
      <w:spacing w:after="0" w:line="240" w:lineRule="auto"/>
    </w:pPr>
    <w:tblPr>
      <w:tblStyleRowBandSize w:val="1"/>
      <w:tblStyleColBandSize w:val="1"/>
      <w:tbl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insideH w:val="single" w:color="BCD6EE" w:themeColor="accent1" w:themeTint="67" w:sz="4" w:space="0"/>
        <w:insideV w:val="single" w:color="BCD6EE" w:themeColor="accent1" w:themeTint="67" w:sz="4" w:space="0"/>
      </w:tblBorders>
    </w:tblPr>
    <w:tblStylePr w:type="band1Horz">
      <w:rPr>
        <w:rFonts w:ascii="Arial" w:hAnsi="Arial"/>
        <w:color w:val="404040"/>
        <w:sz w:val="22"/>
      </w:rPr>
      <w:tcPr>
        <w:tc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tcBorders>
      </w:tcPr>
    </w:tblStylePr>
    <w:tblStylePr w:type="firstCol">
      <w:rPr>
        <w:b/>
        <w:color w:val="404040"/>
      </w:rPr>
    </w:tblStylePr>
    <w:tblStylePr w:type="firstRow">
      <w:rPr>
        <w:b/>
        <w:color w:val="404040"/>
      </w:rPr>
      <w:tcPr>
        <w:tcBorders>
          <w:bottom w:val="single" w:color="9EC4E6" w:themeColor="accent1" w:themeTint="95" w:sz="12" w:space="0"/>
        </w:tcBorders>
      </w:tcPr>
    </w:tblStylePr>
    <w:tblStylePr w:type="lastCol">
      <w:rPr>
        <w:b/>
        <w:color w:val="404040"/>
      </w:rPr>
    </w:tblStylePr>
    <w:tblStylePr w:type="lastRow">
      <w:rPr>
        <w:b/>
        <w:color w:val="404040"/>
      </w:rPr>
    </w:tblStylePr>
  </w:style>
  <w:style w:type="table" w:styleId="1186" w:customStyle="1">
    <w:name w:val="Grid Table 1 Light - Accent 2"/>
    <w:basedOn w:val="1157"/>
    <w:uiPriority w:val="99"/>
    <w:pPr>
      <w:spacing w:after="0" w:line="240" w:lineRule="auto"/>
    </w:pPr>
    <w:tblPr>
      <w:tblStyleRowBandSize w:val="1"/>
      <w:tblStyleColBandSize w:val="1"/>
      <w:tbl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insideH w:val="single" w:color="F7CAAB" w:themeColor="accent2" w:themeTint="67" w:sz="4" w:space="0"/>
        <w:insideV w:val="single" w:color="F7CAAB" w:themeColor="accent2" w:themeTint="67" w:sz="4" w:space="0"/>
      </w:tblBorders>
    </w:tblPr>
    <w:tblStylePr w:type="band1Horz">
      <w:rPr>
        <w:rFonts w:ascii="Arial" w:hAnsi="Arial"/>
        <w:color w:val="404040"/>
        <w:sz w:val="22"/>
      </w:rPr>
      <w:tcPr>
        <w:tc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tcBorders>
      </w:tcPr>
    </w:tblStylePr>
    <w:tblStylePr w:type="firstCol">
      <w:rPr>
        <w:b/>
        <w:color w:val="404040"/>
      </w:rPr>
    </w:tblStylePr>
    <w:tblStylePr w:type="firstRow">
      <w:rPr>
        <w:b/>
        <w:color w:val="404040"/>
      </w:rPr>
      <w:tcPr>
        <w:tcBorders>
          <w:bottom w:val="single" w:color="F4B286" w:themeColor="accent2" w:themeTint="95" w:sz="12" w:space="0"/>
        </w:tcBorders>
      </w:tcPr>
    </w:tblStylePr>
    <w:tblStylePr w:type="lastCol">
      <w:rPr>
        <w:b/>
        <w:color w:val="404040"/>
      </w:rPr>
    </w:tblStylePr>
    <w:tblStylePr w:type="lastRow">
      <w:rPr>
        <w:b/>
        <w:color w:val="404040"/>
      </w:rPr>
    </w:tblStylePr>
  </w:style>
  <w:style w:type="table" w:styleId="1187" w:customStyle="1">
    <w:name w:val="Grid Table 1 Light - Accent 3"/>
    <w:basedOn w:val="1157"/>
    <w:uiPriority w:val="99"/>
    <w:pPr>
      <w:spacing w:after="0" w:line="240" w:lineRule="auto"/>
    </w:pPr>
    <w:tblPr>
      <w:tblStyleRowBandSize w:val="1"/>
      <w:tblStyleColBandSize w:val="1"/>
      <w:tbl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insideH w:val="single" w:color="DADADA" w:themeColor="accent3" w:themeTint="67" w:sz="4" w:space="0"/>
        <w:insideV w:val="single" w:color="DADADA" w:themeColor="accent3" w:themeTint="67" w:sz="4" w:space="0"/>
      </w:tblBorders>
    </w:tblPr>
    <w:tblStylePr w:type="band1Horz">
      <w:rPr>
        <w:rFonts w:ascii="Arial" w:hAnsi="Arial"/>
        <w:color w:val="404040"/>
        <w:sz w:val="22"/>
      </w:rPr>
      <w:tcPr>
        <w:tc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tcBorders>
      </w:tcPr>
    </w:tblStylePr>
    <w:tblStylePr w:type="firstCol">
      <w:rPr>
        <w:b/>
        <w:color w:val="404040"/>
      </w:rPr>
    </w:tblStylePr>
    <w:tblStylePr w:type="firstRow">
      <w:rPr>
        <w:b/>
        <w:color w:val="404040"/>
      </w:rPr>
      <w:tcPr>
        <w:tcBorders>
          <w:bottom w:val="single" w:color="CACACA" w:themeColor="accent3" w:themeTint="95" w:sz="12" w:space="0"/>
        </w:tcBorders>
      </w:tcPr>
    </w:tblStylePr>
    <w:tblStylePr w:type="lastCol">
      <w:rPr>
        <w:b/>
        <w:color w:val="404040"/>
      </w:rPr>
    </w:tblStylePr>
    <w:tblStylePr w:type="lastRow">
      <w:rPr>
        <w:b/>
        <w:color w:val="404040"/>
      </w:rPr>
    </w:tblStylePr>
  </w:style>
  <w:style w:type="table" w:styleId="1188" w:customStyle="1">
    <w:name w:val="Grid Table 1 Light - Accent 4"/>
    <w:basedOn w:val="1157"/>
    <w:uiPriority w:val="99"/>
    <w:pPr>
      <w:spacing w:after="0" w:line="240" w:lineRule="auto"/>
    </w:pPr>
    <w:tblPr>
      <w:tblStyleRowBandSize w:val="1"/>
      <w:tblStyleColBandSize w:val="1"/>
      <w:tbl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insideH w:val="single" w:color="FFE598" w:themeColor="accent4" w:themeTint="67" w:sz="4" w:space="0"/>
        <w:insideV w:val="single" w:color="FFE598" w:themeColor="accent4" w:themeTint="67" w:sz="4" w:space="0"/>
      </w:tblBorders>
    </w:tblPr>
    <w:tblStylePr w:type="band1Horz">
      <w:rPr>
        <w:rFonts w:ascii="Arial" w:hAnsi="Arial"/>
        <w:color w:val="404040"/>
        <w:sz w:val="22"/>
      </w:rPr>
      <w:tcPr>
        <w:tc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tcBorders>
      </w:tcPr>
    </w:tblStylePr>
    <w:tblStylePr w:type="firstCol">
      <w:rPr>
        <w:b/>
        <w:color w:val="404040"/>
      </w:rPr>
    </w:tblStylePr>
    <w:tblStylePr w:type="firstRow">
      <w:rPr>
        <w:b/>
        <w:color w:val="404040"/>
      </w:rPr>
      <w:tcPr>
        <w:tcBorders>
          <w:bottom w:val="single" w:color="FFDA6A" w:themeColor="accent4" w:themeTint="95" w:sz="12" w:space="0"/>
        </w:tcBorders>
      </w:tcPr>
    </w:tblStylePr>
    <w:tblStylePr w:type="lastCol">
      <w:rPr>
        <w:b/>
        <w:color w:val="404040"/>
      </w:rPr>
    </w:tblStylePr>
    <w:tblStylePr w:type="lastRow">
      <w:rPr>
        <w:b/>
        <w:color w:val="404040"/>
      </w:rPr>
    </w:tblStylePr>
  </w:style>
  <w:style w:type="table" w:styleId="1189" w:customStyle="1">
    <w:name w:val="Grid Table 1 Light - Accent 5"/>
    <w:basedOn w:val="1157"/>
    <w:uiPriority w:val="99"/>
    <w:pPr>
      <w:spacing w:after="0" w:line="240" w:lineRule="auto"/>
    </w:pPr>
    <w:tblPr>
      <w:tblStyleRowBandSize w:val="1"/>
      <w:tblStyleColBandSize w:val="1"/>
      <w:tblBorders>
        <w:top w:val="single" w:color="B3C5E7" w:themeColor="accent5" w:themeTint="67" w:sz="4" w:space="0"/>
        <w:left w:val="single" w:color="B3C5E7" w:themeColor="accent5" w:themeTint="67" w:sz="4" w:space="0"/>
        <w:bottom w:val="single" w:color="B3C5E7" w:themeColor="accent5" w:themeTint="67" w:sz="4" w:space="0"/>
        <w:right w:val="single" w:color="B3C5E7" w:themeColor="accent5" w:themeTint="67" w:sz="4" w:space="0"/>
        <w:insideH w:val="single" w:color="B3C5E7" w:themeColor="accent5" w:themeTint="67" w:sz="4" w:space="0"/>
        <w:insideV w:val="single" w:color="B3C5E7" w:themeColor="accent5" w:themeTint="67" w:sz="4" w:space="0"/>
      </w:tblBorders>
    </w:tblPr>
    <w:tblStylePr w:type="band1Horz">
      <w:rPr>
        <w:rFonts w:ascii="Arial" w:hAnsi="Arial"/>
        <w:color w:val="404040"/>
        <w:sz w:val="22"/>
      </w:rPr>
      <w:tcPr>
        <w:tcBorders>
          <w:top w:val="single" w:color="B3C5E7" w:themeColor="accent5" w:themeTint="67" w:sz="4" w:space="0"/>
          <w:left w:val="single" w:color="B3C5E7" w:themeColor="accent5" w:themeTint="67" w:sz="4" w:space="0"/>
          <w:bottom w:val="single" w:color="B3C5E7" w:themeColor="accent5" w:themeTint="67" w:sz="4" w:space="0"/>
          <w:right w:val="single" w:color="B3C5E7" w:themeColor="accent5" w:themeTint="67" w:sz="4" w:space="0"/>
        </w:tcBorders>
      </w:tcPr>
    </w:tblStylePr>
    <w:tblStylePr w:type="firstCol">
      <w:rPr>
        <w:b/>
        <w:color w:val="404040"/>
      </w:rPr>
    </w:tblStylePr>
    <w:tblStylePr w:type="firstRow">
      <w:rPr>
        <w:b/>
        <w:color w:val="404040"/>
      </w:rPr>
      <w:tcPr>
        <w:tcBorders>
          <w:bottom w:val="single" w:color="91ACDC" w:themeColor="accent5" w:themeTint="95" w:sz="12" w:space="0"/>
        </w:tcBorders>
      </w:tcPr>
    </w:tblStylePr>
    <w:tblStylePr w:type="lastCol">
      <w:rPr>
        <w:b/>
        <w:color w:val="404040"/>
      </w:rPr>
    </w:tblStylePr>
    <w:tblStylePr w:type="lastRow">
      <w:rPr>
        <w:b/>
        <w:color w:val="404040"/>
      </w:rPr>
    </w:tblStylePr>
  </w:style>
  <w:style w:type="table" w:styleId="1190" w:customStyle="1">
    <w:name w:val="Grid Table 1 Light - Accent 6"/>
    <w:basedOn w:val="1157"/>
    <w:uiPriority w:val="99"/>
    <w:pPr>
      <w:spacing w:after="0" w:line="240" w:lineRule="auto"/>
    </w:pPr>
    <w:tblPr>
      <w:tblStyleRowBandSize w:val="1"/>
      <w:tblStyleColBandSize w:val="1"/>
      <w:tbl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insideH w:val="single" w:color="C4DFB2" w:themeColor="accent6" w:themeTint="67" w:sz="4" w:space="0"/>
        <w:insideV w:val="single" w:color="C4DFB2" w:themeColor="accent6" w:themeTint="67" w:sz="4" w:space="0"/>
      </w:tblBorders>
    </w:tblPr>
    <w:tblStylePr w:type="band1Horz">
      <w:rPr>
        <w:rFonts w:ascii="Arial" w:hAnsi="Arial"/>
        <w:color w:val="404040"/>
        <w:sz w:val="22"/>
      </w:rPr>
      <w:tcPr>
        <w:tc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tcBorders>
      </w:tcPr>
    </w:tblStylePr>
    <w:tblStylePr w:type="firstCol">
      <w:rPr>
        <w:b/>
        <w:color w:val="404040"/>
      </w:rPr>
    </w:tblStylePr>
    <w:tblStylePr w:type="firstRow">
      <w:rPr>
        <w:b/>
        <w:color w:val="404040"/>
      </w:rPr>
      <w:tcPr>
        <w:tcBorders>
          <w:bottom w:val="single" w:color="AAD190" w:themeColor="accent6" w:themeTint="95" w:sz="12" w:space="0"/>
        </w:tcBorders>
      </w:tcPr>
    </w:tblStylePr>
    <w:tblStylePr w:type="lastCol">
      <w:rPr>
        <w:b/>
        <w:color w:val="404040"/>
      </w:rPr>
    </w:tblStylePr>
    <w:tblStylePr w:type="lastRow">
      <w:rPr>
        <w:b/>
        <w:color w:val="404040"/>
      </w:rPr>
    </w:tblStylePr>
  </w:style>
  <w:style w:type="table" w:styleId="1191">
    <w:name w:val="Grid Table 2"/>
    <w:basedOn w:val="1157"/>
    <w:uiPriority w:val="99"/>
    <w:pPr>
      <w:spacing w:after="0" w:line="240" w:lineRule="auto"/>
    </w:pPr>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blStylePr w:type="band1Horz">
      <w:rPr>
        <w:rFonts w:ascii="Arial" w:hAnsi="Arial"/>
        <w:color w:val="404040"/>
        <w:sz w:val="22"/>
      </w:rPr>
      <w:tcPr>
        <w:shd w:val="clear" w:color="cbcbcb" w:themeColor="text1" w:themeTint="34" w:fill="cbcbcb" w:themeFill="text1" w:themeFillTint="34"/>
      </w:tcPr>
    </w:tblStylePr>
    <w:tblStylePr w:type="band1Vert">
      <w:rPr>
        <w:rFonts w:ascii="Arial" w:hAnsi="Arial"/>
        <w:color w:val="404040"/>
        <w:sz w:val="22"/>
      </w:rPr>
      <w:tcPr>
        <w:shd w:val="clear" w:color="cbcbcb" w:themeColor="text1" w:themeTint="34" w:fill="cbcbcb" w:themeFill="text1"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6A6A6A" w:themeColor="text1" w:themeTint="95"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6A6A6A" w:themeColor="text1" w:themeTint="95" w:sz="4" w:space="0"/>
          <w:left w:val="none" w:color="000000" w:sz="4" w:space="0"/>
          <w:bottom w:val="none" w:color="000000" w:sz="4" w:space="0"/>
          <w:right w:val="none" w:color="000000" w:sz="4" w:space="0"/>
        </w:tcBorders>
      </w:tcPr>
    </w:tblStylePr>
  </w:style>
  <w:style w:type="table" w:styleId="1192" w:customStyle="1">
    <w:name w:val="Grid Table 2 - Accent 1"/>
    <w:basedOn w:val="1157"/>
    <w:uiPriority w:val="99"/>
    <w:pPr>
      <w:spacing w:after="0" w:line="240" w:lineRule="auto"/>
    </w:pPr>
    <w:tblPr>
      <w:tblStyleRowBandSize w:val="1"/>
      <w:tblStyleColBandSize w:val="1"/>
      <w:tblBorders>
        <w:bottom w:val="single" w:color="68A2D8" w:themeColor="accent1" w:themeTint="EA" w:sz="4" w:space="0"/>
        <w:insideH w:val="single" w:color="68A2D8" w:themeColor="accent1" w:themeTint="EA" w:sz="4" w:space="0"/>
        <w:insideV w:val="single" w:color="68A2D8" w:themeColor="accent1" w:themeTint="EA" w:sz="4" w:space="0"/>
      </w:tblBorders>
    </w:tblPr>
    <w:tblStylePr w:type="band1Horz">
      <w:rPr>
        <w:rFonts w:ascii="Arial" w:hAnsi="Arial"/>
        <w:color w:val="404040"/>
        <w:sz w:val="22"/>
      </w:rPr>
      <w:tcPr>
        <w:shd w:val="clear" w:color="ddeaf6" w:themeColor="accent1" w:themeTint="34" w:fill="ddeaf6" w:themeFill="accent1" w:themeFillTint="34"/>
      </w:tcPr>
    </w:tblStylePr>
    <w:tblStylePr w:type="band1Vert">
      <w:rPr>
        <w:rFonts w:ascii="Arial" w:hAnsi="Arial"/>
        <w:color w:val="404040"/>
        <w:sz w:val="22"/>
      </w:rPr>
      <w:tcPr>
        <w:shd w:val="clear" w:color="ddeaf6" w:themeColor="accent1" w:themeTint="34" w:fill="ddeaf6" w:themeFill="accent1"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68A2D8" w:themeColor="accent1" w:themeTint="EA"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68A2D8" w:themeColor="accent1" w:themeTint="EA" w:sz="4" w:space="0"/>
          <w:left w:val="none" w:color="000000" w:sz="4" w:space="0"/>
          <w:bottom w:val="none" w:color="000000" w:sz="4" w:space="0"/>
          <w:right w:val="none" w:color="000000" w:sz="4" w:space="0"/>
        </w:tcBorders>
      </w:tcPr>
    </w:tblStylePr>
  </w:style>
  <w:style w:type="table" w:styleId="1193" w:customStyle="1">
    <w:name w:val="Grid Table 2 - Accent 2"/>
    <w:basedOn w:val="1157"/>
    <w:uiPriority w:val="99"/>
    <w:pPr>
      <w:spacing w:after="0" w:line="240" w:lineRule="auto"/>
    </w:pPr>
    <w:tblPr>
      <w:tblStyleRowBandSize w:val="1"/>
      <w:tblStyleColBandSize w:val="1"/>
      <w:tblBorders>
        <w:bottom w:val="single" w:color="F4B184" w:themeColor="accent2" w:themeTint="97" w:sz="4" w:space="0"/>
        <w:insideH w:val="single" w:color="F4B184" w:themeColor="accent2" w:themeTint="97" w:sz="4" w:space="0"/>
        <w:insideV w:val="single" w:color="F4B184" w:themeColor="accent2" w:themeTint="97" w:sz="4" w:space="0"/>
      </w:tblBorders>
    </w:tblPr>
    <w:tblStylePr w:type="band1Horz">
      <w:rPr>
        <w:rFonts w:ascii="Arial" w:hAnsi="Arial"/>
        <w:color w:val="404040"/>
        <w:sz w:val="22"/>
      </w:rPr>
      <w:tcPr>
        <w:shd w:val="clear" w:color="fbe5d6" w:themeColor="accent2" w:themeTint="32" w:fill="fbe5d6" w:themeFill="accent2" w:themeFillTint="32"/>
      </w:tcPr>
    </w:tblStylePr>
    <w:tblStylePr w:type="band1Vert">
      <w:rPr>
        <w:rFonts w:ascii="Arial" w:hAnsi="Arial"/>
        <w:color w:val="404040"/>
        <w:sz w:val="22"/>
      </w:rPr>
      <w:tcPr>
        <w:shd w:val="clear" w:color="fbe5d6" w:themeColor="accent2" w:themeTint="32" w:fill="fbe5d6" w:themeFill="accent2" w:themeFillTint="32"/>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F4B184" w:themeColor="accent2" w:themeTint="97"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F4B184" w:themeColor="accent2" w:themeTint="97" w:sz="4" w:space="0"/>
          <w:left w:val="none" w:color="000000" w:sz="4" w:space="0"/>
          <w:bottom w:val="none" w:color="000000" w:sz="4" w:space="0"/>
          <w:right w:val="none" w:color="000000" w:sz="4" w:space="0"/>
        </w:tcBorders>
      </w:tcPr>
    </w:tblStylePr>
  </w:style>
  <w:style w:type="table" w:styleId="1194" w:customStyle="1">
    <w:name w:val="Grid Table 2 - Accent 3"/>
    <w:basedOn w:val="1157"/>
    <w:uiPriority w:val="99"/>
    <w:pPr>
      <w:spacing w:after="0" w:line="240" w:lineRule="auto"/>
    </w:pPr>
    <w:tblPr>
      <w:tblStyleRowBandSize w:val="1"/>
      <w:tblStyleColBandSize w:val="1"/>
      <w:tblBorders>
        <w:bottom w:val="single" w:color="A5A5A5" w:themeColor="accent3" w:themeTint="FE" w:sz="4" w:space="0"/>
        <w:insideH w:val="single" w:color="A5A5A5" w:themeColor="accent3" w:themeTint="FE" w:sz="4" w:space="0"/>
        <w:insideV w:val="single" w:color="A5A5A5" w:themeColor="accent3" w:themeTint="FE" w:sz="4" w:space="0"/>
      </w:tblBorders>
    </w:tblPr>
    <w:tblStylePr w:type="band1Horz">
      <w:rPr>
        <w:rFonts w:ascii="Arial" w:hAnsi="Arial"/>
        <w:color w:val="404040"/>
        <w:sz w:val="22"/>
      </w:rPr>
      <w:tcPr>
        <w:shd w:val="clear" w:color="ececec" w:themeColor="accent3" w:themeTint="34" w:fill="ececec" w:themeFill="accent3" w:themeFillTint="34"/>
      </w:tcPr>
    </w:tblStylePr>
    <w:tblStylePr w:type="band1Vert">
      <w:rPr>
        <w:rFonts w:ascii="Arial" w:hAnsi="Arial"/>
        <w:color w:val="404040"/>
        <w:sz w:val="22"/>
      </w:rPr>
      <w:tcPr>
        <w:shd w:val="clear" w:color="ececec" w:themeColor="accent3" w:themeTint="34" w:fill="ececec" w:themeFill="accent3"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A5A5A5" w:themeColor="accent3" w:themeTint="FE"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A5A5A5" w:themeColor="accent3" w:themeTint="FE" w:sz="4" w:space="0"/>
          <w:left w:val="none" w:color="000000" w:sz="4" w:space="0"/>
          <w:bottom w:val="none" w:color="000000" w:sz="4" w:space="0"/>
          <w:right w:val="none" w:color="000000" w:sz="4" w:space="0"/>
        </w:tcBorders>
      </w:tcPr>
    </w:tblStylePr>
  </w:style>
  <w:style w:type="table" w:styleId="1195" w:customStyle="1">
    <w:name w:val="Grid Table 2 - Accent 4"/>
    <w:basedOn w:val="1157"/>
    <w:uiPriority w:val="99"/>
    <w:pPr>
      <w:spacing w:after="0" w:line="240" w:lineRule="auto"/>
    </w:pPr>
    <w:tblPr>
      <w:tblStyleRowBandSize w:val="1"/>
      <w:tblStyleColBandSize w:val="1"/>
      <w:tblBorders>
        <w:bottom w:val="single" w:color="FFD865" w:themeColor="accent4" w:themeTint="9A" w:sz="4" w:space="0"/>
        <w:insideH w:val="single" w:color="FFD865" w:themeColor="accent4" w:themeTint="9A" w:sz="4" w:space="0"/>
        <w:insideV w:val="single" w:color="FFD865" w:themeColor="accent4" w:themeTint="9A" w:sz="4" w:space="0"/>
      </w:tblBorders>
    </w:tblPr>
    <w:tblStylePr w:type="band1Horz">
      <w:rPr>
        <w:rFonts w:ascii="Arial" w:hAnsi="Arial"/>
        <w:color w:val="404040"/>
        <w:sz w:val="22"/>
      </w:rPr>
      <w:tcPr>
        <w:shd w:val="clear" w:color="fff2cb" w:themeColor="accent4" w:themeTint="34" w:fill="fff2cb" w:themeFill="accent4" w:themeFillTint="34"/>
      </w:tcPr>
    </w:tblStylePr>
    <w:tblStylePr w:type="band1Vert">
      <w:rPr>
        <w:rFonts w:ascii="Arial" w:hAnsi="Arial"/>
        <w:color w:val="404040"/>
        <w:sz w:val="22"/>
      </w:rPr>
      <w:tcPr>
        <w:shd w:val="clear" w:color="fff2cb" w:themeColor="accent4" w:themeTint="34" w:fill="fff2cb" w:themeFill="accent4"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FFD865" w:themeColor="accent4" w:themeTint="9A"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FFD865" w:themeColor="accent4" w:themeTint="9A" w:sz="4" w:space="0"/>
          <w:left w:val="none" w:color="000000" w:sz="4" w:space="0"/>
          <w:bottom w:val="none" w:color="000000" w:sz="4" w:space="0"/>
          <w:right w:val="none" w:color="000000" w:sz="4" w:space="0"/>
        </w:tcBorders>
      </w:tcPr>
    </w:tblStylePr>
  </w:style>
  <w:style w:type="table" w:styleId="1196" w:customStyle="1">
    <w:name w:val="Grid Table 2 - Accent 5"/>
    <w:basedOn w:val="1157"/>
    <w:uiPriority w:val="99"/>
    <w:pPr>
      <w:spacing w:after="0" w:line="240" w:lineRule="auto"/>
    </w:pPr>
    <w:tblPr>
      <w:tblStyleRowBandSize w:val="1"/>
      <w:tblStyleColBandSize w:val="1"/>
      <w:tblBorders>
        <w:bottom w:val="single" w:color="4472C4" w:themeColor="accent5" w:sz="4" w:space="0"/>
        <w:insideH w:val="single" w:color="4472C4" w:themeColor="accent5" w:sz="4" w:space="0"/>
        <w:insideV w:val="single" w:color="4472C4" w:themeColor="accent5" w:sz="4" w:space="0"/>
      </w:tblBorders>
    </w:tblPr>
    <w:tblStylePr w:type="band1Horz">
      <w:rPr>
        <w:rFonts w:ascii="Arial" w:hAnsi="Arial"/>
        <w:color w:val="404040"/>
        <w:sz w:val="22"/>
      </w:rPr>
      <w:tcPr>
        <w:shd w:val="clear" w:color="d8e2f3" w:themeColor="accent5" w:themeTint="34" w:fill="d8e2f3" w:themeFill="accent5" w:themeFillTint="34"/>
      </w:tcPr>
    </w:tblStylePr>
    <w:tblStylePr w:type="band1Vert">
      <w:rPr>
        <w:rFonts w:ascii="Arial" w:hAnsi="Arial"/>
        <w:color w:val="404040"/>
        <w:sz w:val="22"/>
      </w:rPr>
      <w:tcPr>
        <w:shd w:val="clear" w:color="d8e2f3" w:themeColor="accent5" w:themeTint="34" w:fill="d8e2f3" w:themeFill="accent5"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4472C4" w:themeColor="accent5"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4472C4" w:themeColor="accent5" w:sz="4" w:space="0"/>
          <w:left w:val="none" w:color="000000" w:sz="4" w:space="0"/>
          <w:bottom w:val="none" w:color="000000" w:sz="4" w:space="0"/>
          <w:right w:val="none" w:color="000000" w:sz="4" w:space="0"/>
        </w:tcBorders>
      </w:tcPr>
    </w:tblStylePr>
  </w:style>
  <w:style w:type="table" w:styleId="1197" w:customStyle="1">
    <w:name w:val="Grid Table 2 - Accent 6"/>
    <w:basedOn w:val="1157"/>
    <w:uiPriority w:val="99"/>
    <w:pPr>
      <w:spacing w:after="0" w:line="240" w:lineRule="auto"/>
    </w:pPr>
    <w:tblPr>
      <w:tblStyleRowBandSize w:val="1"/>
      <w:tblStyleColBandSize w:val="1"/>
      <w:tblBorders>
        <w:bottom w:val="single" w:color="70AD47" w:themeColor="accent6" w:sz="4" w:space="0"/>
        <w:insideH w:val="single" w:color="70AD47" w:themeColor="accent6" w:sz="4" w:space="0"/>
        <w:insideV w:val="single" w:color="70AD47" w:themeColor="accent6" w:sz="4" w:space="0"/>
      </w:tblBorders>
    </w:tblPr>
    <w:tblStylePr w:type="band1Horz">
      <w:rPr>
        <w:rFonts w:ascii="Arial" w:hAnsi="Arial"/>
        <w:color w:val="404040"/>
        <w:sz w:val="22"/>
      </w:rPr>
      <w:tcPr>
        <w:shd w:val="clear" w:color="e1efd8" w:themeColor="accent6" w:themeTint="34" w:fill="e1efd8" w:themeFill="accent6" w:themeFillTint="34"/>
      </w:tcPr>
    </w:tblStylePr>
    <w:tblStylePr w:type="band1Vert">
      <w:rPr>
        <w:rFonts w:ascii="Arial" w:hAnsi="Arial"/>
        <w:color w:val="404040"/>
        <w:sz w:val="22"/>
      </w:rPr>
      <w:tcPr>
        <w:shd w:val="clear" w:color="e1efd8" w:themeColor="accent6" w:themeTint="34" w:fill="e1efd8" w:themeFill="accent6"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70AD47" w:themeColor="accent6"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70AD47" w:themeColor="accent6" w:sz="4" w:space="0"/>
          <w:left w:val="none" w:color="000000" w:sz="4" w:space="0"/>
          <w:bottom w:val="none" w:color="000000" w:sz="4" w:space="0"/>
          <w:right w:val="none" w:color="000000" w:sz="4" w:space="0"/>
        </w:tcBorders>
      </w:tcPr>
    </w:tblStylePr>
  </w:style>
  <w:style w:type="table" w:styleId="1198">
    <w:name w:val="Grid Table 3"/>
    <w:basedOn w:val="1157"/>
    <w:uiPriority w:val="99"/>
    <w:pPr>
      <w:spacing w:after="0" w:line="240" w:lineRule="auto"/>
    </w:pPr>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blStylePr w:type="band1Horz">
      <w:rPr>
        <w:rFonts w:ascii="Arial" w:hAnsi="Arial"/>
        <w:color w:val="404040"/>
        <w:sz w:val="22"/>
      </w:rPr>
      <w:tcPr>
        <w:shd w:val="clear" w:color="cbcbcb" w:themeColor="text1" w:themeTint="34" w:fill="cbcbcb" w:themeFill="text1" w:themeFillTint="34"/>
      </w:tcPr>
    </w:tblStylePr>
    <w:tblStylePr w:type="band1Vert">
      <w:rPr>
        <w:rFonts w:ascii="Arial" w:hAnsi="Arial"/>
        <w:color w:val="404040"/>
        <w:sz w:val="22"/>
      </w:rPr>
      <w:tcPr>
        <w:shd w:val="clear" w:color="cbcbcb" w:themeColor="text1" w:themeTint="34" w:fill="cbcbcb" w:themeFill="text1"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1199" w:customStyle="1">
    <w:name w:val="Grid Table 3 - Accent 1"/>
    <w:basedOn w:val="1157"/>
    <w:uiPriority w:val="99"/>
    <w:pPr>
      <w:spacing w:after="0" w:line="240" w:lineRule="auto"/>
    </w:pPr>
    <w:tblPr>
      <w:tblStyleRowBandSize w:val="1"/>
      <w:tblStyleColBandSize w:val="1"/>
      <w:tblBorders>
        <w:bottom w:val="single" w:color="68A2D8" w:themeColor="accent1" w:themeTint="EA" w:sz="4" w:space="0"/>
        <w:insideH w:val="single" w:color="68A2D8" w:themeColor="accent1" w:themeTint="EA" w:sz="4" w:space="0"/>
        <w:insideV w:val="single" w:color="68A2D8" w:themeColor="accent1" w:themeTint="EA" w:sz="4" w:space="0"/>
      </w:tblBorders>
    </w:tblPr>
    <w:tblStylePr w:type="band1Horz">
      <w:rPr>
        <w:rFonts w:ascii="Arial" w:hAnsi="Arial"/>
        <w:color w:val="404040"/>
        <w:sz w:val="22"/>
      </w:rPr>
      <w:tcPr>
        <w:shd w:val="clear" w:color="ddeaf6" w:themeColor="accent1" w:themeTint="34" w:fill="ddeaf6" w:themeFill="accent1" w:themeFillTint="34"/>
      </w:tcPr>
    </w:tblStylePr>
    <w:tblStylePr w:type="band1Vert">
      <w:rPr>
        <w:rFonts w:ascii="Arial" w:hAnsi="Arial"/>
        <w:color w:val="404040"/>
        <w:sz w:val="22"/>
      </w:rPr>
      <w:tcPr>
        <w:shd w:val="clear" w:color="ddeaf6" w:themeColor="accent1" w:themeTint="34" w:fill="ddeaf6" w:themeFill="accent1"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1200" w:customStyle="1">
    <w:name w:val="Grid Table 3 - Accent 2"/>
    <w:basedOn w:val="1157"/>
    <w:uiPriority w:val="99"/>
    <w:pPr>
      <w:spacing w:after="0" w:line="240" w:lineRule="auto"/>
    </w:pPr>
    <w:tblPr>
      <w:tblStyleRowBandSize w:val="1"/>
      <w:tblStyleColBandSize w:val="1"/>
      <w:tblBorders>
        <w:bottom w:val="single" w:color="F4B184" w:themeColor="accent2" w:themeTint="97" w:sz="4" w:space="0"/>
        <w:insideH w:val="single" w:color="F4B184" w:themeColor="accent2" w:themeTint="97" w:sz="4" w:space="0"/>
        <w:insideV w:val="single" w:color="F4B184" w:themeColor="accent2" w:themeTint="97" w:sz="4" w:space="0"/>
      </w:tblBorders>
    </w:tblPr>
    <w:tblStylePr w:type="band1Horz">
      <w:rPr>
        <w:rFonts w:ascii="Arial" w:hAnsi="Arial"/>
        <w:color w:val="404040"/>
        <w:sz w:val="22"/>
      </w:rPr>
      <w:tcPr>
        <w:shd w:val="clear" w:color="fbe5d6" w:themeColor="accent2" w:themeTint="32" w:fill="fbe5d6" w:themeFill="accent2" w:themeFillTint="32"/>
      </w:tcPr>
    </w:tblStylePr>
    <w:tblStylePr w:type="band1Vert">
      <w:rPr>
        <w:rFonts w:ascii="Arial" w:hAnsi="Arial"/>
        <w:color w:val="404040"/>
        <w:sz w:val="22"/>
      </w:rPr>
      <w:tcPr>
        <w:shd w:val="clear" w:color="fbe5d6" w:themeColor="accent2" w:themeTint="32" w:fill="fbe5d6" w:themeFill="accent2" w:themeFillTint="32"/>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1201" w:customStyle="1">
    <w:name w:val="Grid Table 3 - Accent 3"/>
    <w:basedOn w:val="1157"/>
    <w:uiPriority w:val="99"/>
    <w:pPr>
      <w:spacing w:after="0" w:line="240" w:lineRule="auto"/>
    </w:pPr>
    <w:tblPr>
      <w:tblStyleRowBandSize w:val="1"/>
      <w:tblStyleColBandSize w:val="1"/>
      <w:tblBorders>
        <w:bottom w:val="single" w:color="A5A5A5" w:themeColor="accent3" w:themeTint="FE" w:sz="4" w:space="0"/>
        <w:insideH w:val="single" w:color="A5A5A5" w:themeColor="accent3" w:themeTint="FE" w:sz="4" w:space="0"/>
        <w:insideV w:val="single" w:color="A5A5A5" w:themeColor="accent3" w:themeTint="FE" w:sz="4" w:space="0"/>
      </w:tblBorders>
    </w:tblPr>
    <w:tblStylePr w:type="band1Horz">
      <w:rPr>
        <w:rFonts w:ascii="Arial" w:hAnsi="Arial"/>
        <w:color w:val="404040"/>
        <w:sz w:val="22"/>
      </w:rPr>
      <w:tcPr>
        <w:shd w:val="clear" w:color="ececec" w:themeColor="accent3" w:themeTint="34" w:fill="ececec" w:themeFill="accent3" w:themeFillTint="34"/>
      </w:tcPr>
    </w:tblStylePr>
    <w:tblStylePr w:type="band1Vert">
      <w:rPr>
        <w:rFonts w:ascii="Arial" w:hAnsi="Arial"/>
        <w:color w:val="404040"/>
        <w:sz w:val="22"/>
      </w:rPr>
      <w:tcPr>
        <w:shd w:val="clear" w:color="ececec" w:themeColor="accent3" w:themeTint="34" w:fill="ececec" w:themeFill="accent3"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1202" w:customStyle="1">
    <w:name w:val="Grid Table 3 - Accent 4"/>
    <w:basedOn w:val="1157"/>
    <w:uiPriority w:val="99"/>
    <w:pPr>
      <w:spacing w:after="0" w:line="240" w:lineRule="auto"/>
    </w:pPr>
    <w:tblPr>
      <w:tblStyleRowBandSize w:val="1"/>
      <w:tblStyleColBandSize w:val="1"/>
      <w:tblBorders>
        <w:bottom w:val="single" w:color="FFD865" w:themeColor="accent4" w:themeTint="9A" w:sz="4" w:space="0"/>
        <w:insideH w:val="single" w:color="FFD865" w:themeColor="accent4" w:themeTint="9A" w:sz="4" w:space="0"/>
        <w:insideV w:val="single" w:color="FFD865" w:themeColor="accent4" w:themeTint="9A" w:sz="4" w:space="0"/>
      </w:tblBorders>
    </w:tblPr>
    <w:tblStylePr w:type="band1Horz">
      <w:rPr>
        <w:rFonts w:ascii="Arial" w:hAnsi="Arial"/>
        <w:color w:val="404040"/>
        <w:sz w:val="22"/>
      </w:rPr>
      <w:tcPr>
        <w:shd w:val="clear" w:color="fff2cb" w:themeColor="accent4" w:themeTint="34" w:fill="fff2cb" w:themeFill="accent4" w:themeFillTint="34"/>
      </w:tcPr>
    </w:tblStylePr>
    <w:tblStylePr w:type="band1Vert">
      <w:rPr>
        <w:rFonts w:ascii="Arial" w:hAnsi="Arial"/>
        <w:color w:val="404040"/>
        <w:sz w:val="22"/>
      </w:rPr>
      <w:tcPr>
        <w:shd w:val="clear" w:color="fff2cb" w:themeColor="accent4" w:themeTint="34" w:fill="fff2cb" w:themeFill="accent4"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1203" w:customStyle="1">
    <w:name w:val="Grid Table 3 - Accent 5"/>
    <w:basedOn w:val="1157"/>
    <w:uiPriority w:val="99"/>
    <w:pPr>
      <w:spacing w:after="0" w:line="240" w:lineRule="auto"/>
    </w:pPr>
    <w:tblPr>
      <w:tblStyleRowBandSize w:val="1"/>
      <w:tblStyleColBandSize w:val="1"/>
      <w:tblBorders>
        <w:bottom w:val="single" w:color="4472C4" w:themeColor="accent5" w:sz="4" w:space="0"/>
        <w:insideH w:val="single" w:color="4472C4" w:themeColor="accent5" w:sz="4" w:space="0"/>
        <w:insideV w:val="single" w:color="4472C4" w:themeColor="accent5" w:sz="4" w:space="0"/>
      </w:tblBorders>
    </w:tblPr>
    <w:tblStylePr w:type="band1Horz">
      <w:rPr>
        <w:rFonts w:ascii="Arial" w:hAnsi="Arial"/>
        <w:color w:val="404040"/>
        <w:sz w:val="22"/>
      </w:rPr>
      <w:tcPr>
        <w:shd w:val="clear" w:color="d8e2f3" w:themeColor="accent5" w:themeTint="34" w:fill="d8e2f3" w:themeFill="accent5" w:themeFillTint="34"/>
      </w:tcPr>
    </w:tblStylePr>
    <w:tblStylePr w:type="band1Vert">
      <w:rPr>
        <w:rFonts w:ascii="Arial" w:hAnsi="Arial"/>
        <w:color w:val="404040"/>
        <w:sz w:val="22"/>
      </w:rPr>
      <w:tcPr>
        <w:shd w:val="clear" w:color="d8e2f3" w:themeColor="accent5" w:themeTint="34" w:fill="d8e2f3" w:themeFill="accent5"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1204" w:customStyle="1">
    <w:name w:val="Grid Table 3 - Accent 6"/>
    <w:basedOn w:val="1157"/>
    <w:uiPriority w:val="99"/>
    <w:pPr>
      <w:spacing w:after="0" w:line="240" w:lineRule="auto"/>
    </w:pPr>
    <w:tblPr>
      <w:tblStyleRowBandSize w:val="1"/>
      <w:tblStyleColBandSize w:val="1"/>
      <w:tblBorders>
        <w:bottom w:val="single" w:color="70AD47" w:themeColor="accent6" w:sz="4" w:space="0"/>
        <w:insideH w:val="single" w:color="70AD47" w:themeColor="accent6" w:sz="4" w:space="0"/>
        <w:insideV w:val="single" w:color="70AD47" w:themeColor="accent6" w:sz="4" w:space="0"/>
      </w:tblBorders>
    </w:tblPr>
    <w:tblStylePr w:type="band1Horz">
      <w:rPr>
        <w:rFonts w:ascii="Arial" w:hAnsi="Arial"/>
        <w:color w:val="404040"/>
        <w:sz w:val="22"/>
      </w:rPr>
      <w:tcPr>
        <w:shd w:val="clear" w:color="e1efd8" w:themeColor="accent6" w:themeTint="34" w:fill="e1efd8" w:themeFill="accent6" w:themeFillTint="34"/>
      </w:tcPr>
    </w:tblStylePr>
    <w:tblStylePr w:type="band1Vert">
      <w:rPr>
        <w:rFonts w:ascii="Arial" w:hAnsi="Arial"/>
        <w:color w:val="404040"/>
        <w:sz w:val="22"/>
      </w:rPr>
      <w:tcPr>
        <w:shd w:val="clear" w:color="e1efd8" w:themeColor="accent6" w:themeTint="34" w:fill="e1efd8" w:themeFill="accent6"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1205">
    <w:name w:val="Grid Table 4"/>
    <w:basedOn w:val="1157"/>
    <w:uiPriority w:val="59"/>
    <w:pPr>
      <w:spacing w:after="0" w:line="240" w:lineRule="auto"/>
    </w:pPr>
    <w:tblPr>
      <w:tblStyleRowBandSize w:val="1"/>
      <w:tblStyleColBandSize w:val="1"/>
      <w:tblBorders>
        <w:top w:val="single" w:color="6F6F6F" w:themeColor="text1" w:themeTint="90" w:sz="4" w:space="0"/>
        <w:left w:val="single" w:color="6F6F6F" w:themeColor="text1" w:themeTint="90" w:sz="4" w:space="0"/>
        <w:bottom w:val="single" w:color="6F6F6F" w:themeColor="text1" w:themeTint="90" w:sz="4" w:space="0"/>
        <w:right w:val="single" w:color="6F6F6F" w:themeColor="text1" w:themeTint="90" w:sz="4" w:space="0"/>
        <w:insideH w:val="single" w:color="6F6F6F" w:themeColor="text1" w:themeTint="90" w:sz="4" w:space="0"/>
        <w:insideV w:val="single" w:color="6F6F6F" w:themeColor="text1" w:themeTint="90" w:sz="4" w:space="0"/>
      </w:tblBorders>
    </w:tblPr>
    <w:tblStylePr w:type="band1Horz">
      <w:rPr>
        <w:rFonts w:ascii="Arial" w:hAnsi="Arial"/>
        <w:color w:val="404040"/>
        <w:sz w:val="22"/>
      </w:rPr>
      <w:tcPr>
        <w:shd w:val="clear" w:color="cbcbcb" w:themeColor="text1" w:themeTint="34" w:fill="cbcbcb" w:themeFill="text1" w:themeFillTint="34"/>
      </w:tcPr>
    </w:tblStylePr>
    <w:tblStylePr w:type="band1Vert">
      <w:rPr>
        <w:rFonts w:ascii="Arial" w:hAnsi="Arial"/>
        <w:color w:val="404040"/>
        <w:sz w:val="22"/>
      </w:rPr>
      <w:tcPr>
        <w:shd w:val="clear" w:color="cbcbcb" w:themeColor="text1" w:themeTint="34" w:fill="cbcbcb" w:themeFill="text1" w:themeFillTint="34"/>
      </w:tcPr>
    </w:tblStylePr>
    <w:tblStylePr w:type="firstCol">
      <w:rPr>
        <w:b/>
        <w:color w:val="404040"/>
      </w:rPr>
    </w:tblStylePr>
    <w:tblStylePr w:type="firstRow">
      <w:rPr>
        <w:rFonts w:ascii="Arial" w:hAnsi="Arial"/>
        <w:b/>
        <w:color w:val="ffffff"/>
        <w:sz w:val="22"/>
      </w:rPr>
      <w:tcPr>
        <w:shd w:val="clear" w:color="000000"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tblStylePr>
    <w:tblStylePr w:type="lastRow">
      <w:rPr>
        <w:b/>
        <w:color w:val="404040"/>
      </w:rPr>
      <w:tcPr>
        <w:tcBorders>
          <w:top w:val="single" w:color="000000" w:themeColor="text1" w:sz="4" w:space="0"/>
        </w:tcBorders>
      </w:tcPr>
    </w:tblStylePr>
  </w:style>
  <w:style w:type="table" w:styleId="1206" w:customStyle="1">
    <w:name w:val="Grid Table 4 - Accent 1"/>
    <w:basedOn w:val="1157"/>
    <w:uiPriority w:val="59"/>
    <w:pPr>
      <w:spacing w:after="0" w:line="240" w:lineRule="auto"/>
    </w:pPr>
    <w:tblPr>
      <w:tblStyleRowBandSize w:val="1"/>
      <w:tblStyleColBandSize w:val="1"/>
      <w:tblBorders>
        <w:top w:val="single" w:color="A2C6E7" w:themeColor="accent1" w:themeTint="90" w:sz="4" w:space="0"/>
        <w:left w:val="single" w:color="A2C6E7" w:themeColor="accent1" w:themeTint="90" w:sz="4" w:space="0"/>
        <w:bottom w:val="single" w:color="A2C6E7" w:themeColor="accent1" w:themeTint="90" w:sz="4" w:space="0"/>
        <w:right w:val="single" w:color="A2C6E7" w:themeColor="accent1" w:themeTint="90" w:sz="4" w:space="0"/>
        <w:insideH w:val="single" w:color="A2C6E7" w:themeColor="accent1" w:themeTint="90" w:sz="4" w:space="0"/>
        <w:insideV w:val="single" w:color="A2C6E7" w:themeColor="accent1" w:themeTint="90" w:sz="4" w:space="0"/>
      </w:tblBorders>
    </w:tblPr>
    <w:tblStylePr w:type="band1Horz">
      <w:rPr>
        <w:rFonts w:ascii="Arial" w:hAnsi="Arial"/>
        <w:color w:val="404040"/>
        <w:sz w:val="22"/>
      </w:rPr>
      <w:tcPr>
        <w:shd w:val="clear" w:color="deebf6" w:themeColor="accent1" w:themeTint="32" w:fill="deebf6" w:themeFill="accent1" w:themeFillTint="32"/>
      </w:tcPr>
    </w:tblStylePr>
    <w:tblStylePr w:type="band1Vert">
      <w:rPr>
        <w:rFonts w:ascii="Arial" w:hAnsi="Arial"/>
        <w:color w:val="404040"/>
        <w:sz w:val="22"/>
      </w:rPr>
      <w:tcPr>
        <w:shd w:val="clear" w:color="deebf6" w:themeColor="accent1" w:themeTint="32" w:fill="deebf6" w:themeFill="accent1" w:themeFillTint="32"/>
      </w:tcPr>
    </w:tblStylePr>
    <w:tblStylePr w:type="firstCol">
      <w:rPr>
        <w:b/>
        <w:color w:val="404040"/>
      </w:rPr>
    </w:tblStylePr>
    <w:tblStylePr w:type="firstRow">
      <w:rPr>
        <w:rFonts w:ascii="Arial" w:hAnsi="Arial"/>
        <w:b/>
        <w:color w:val="ffffff"/>
        <w:sz w:val="22"/>
      </w:rPr>
      <w:tcPr>
        <w:shd w:val="clear" w:color="68a2d8" w:themeColor="accent1" w:themeTint="EA" w:fill="68a2d8" w:themeFill="accent1" w:themeFillTint="EA"/>
        <w:tcBorders>
          <w:top w:val="single" w:color="68A2D8" w:themeColor="accent1" w:themeTint="EA" w:sz="4" w:space="0"/>
          <w:left w:val="single" w:color="68A2D8" w:themeColor="accent1" w:themeTint="EA" w:sz="4" w:space="0"/>
          <w:bottom w:val="single" w:color="68A2D8" w:themeColor="accent1" w:themeTint="EA" w:sz="4" w:space="0"/>
          <w:right w:val="single" w:color="68A2D8" w:themeColor="accent1" w:themeTint="EA" w:sz="4" w:space="0"/>
        </w:tcBorders>
      </w:tcPr>
    </w:tblStylePr>
    <w:tblStylePr w:type="lastCol">
      <w:rPr>
        <w:b/>
        <w:color w:val="404040"/>
      </w:rPr>
    </w:tblStylePr>
    <w:tblStylePr w:type="lastRow">
      <w:rPr>
        <w:b/>
        <w:color w:val="404040"/>
      </w:rPr>
      <w:tcPr>
        <w:tcBorders>
          <w:top w:val="single" w:color="68A2D8" w:themeColor="accent1" w:themeTint="EA" w:sz="4" w:space="0"/>
        </w:tcBorders>
      </w:tcPr>
    </w:tblStylePr>
  </w:style>
  <w:style w:type="table" w:styleId="1207" w:customStyle="1">
    <w:name w:val="Grid Table 4 - Accent 2"/>
    <w:basedOn w:val="1157"/>
    <w:uiPriority w:val="59"/>
    <w:pPr>
      <w:spacing w:after="0" w:line="240" w:lineRule="auto"/>
    </w:pPr>
    <w:tblPr>
      <w:tblStyleRowBandSize w:val="1"/>
      <w:tblStyleColBandSize w:val="1"/>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insideV w:val="single" w:color="F4B58A" w:themeColor="accent2" w:themeTint="90" w:sz="4" w:space="0"/>
      </w:tblBorders>
    </w:tblPr>
    <w:tblStylePr w:type="band1Horz">
      <w:rPr>
        <w:rFonts w:ascii="Arial" w:hAnsi="Arial"/>
        <w:color w:val="404040"/>
        <w:sz w:val="22"/>
      </w:rPr>
      <w:tcPr>
        <w:shd w:val="clear" w:color="fbe5d6" w:themeColor="accent2" w:themeTint="32" w:fill="fbe5d6" w:themeFill="accent2" w:themeFillTint="32"/>
      </w:tcPr>
    </w:tblStylePr>
    <w:tblStylePr w:type="band1Vert">
      <w:rPr>
        <w:rFonts w:ascii="Arial" w:hAnsi="Arial"/>
        <w:color w:val="404040"/>
        <w:sz w:val="22"/>
      </w:rPr>
      <w:tcPr>
        <w:shd w:val="clear" w:color="fbe5d6" w:themeColor="accent2" w:themeTint="32" w:fill="fbe5d6" w:themeFill="accent2" w:themeFillTint="32"/>
      </w:tcPr>
    </w:tblStylePr>
    <w:tblStylePr w:type="firstCol">
      <w:rPr>
        <w:b/>
        <w:color w:val="404040"/>
      </w:rPr>
    </w:tblStylePr>
    <w:tblStylePr w:type="firstRow">
      <w:rPr>
        <w:rFonts w:ascii="Arial" w:hAnsi="Arial"/>
        <w:b/>
        <w:color w:val="ffffff"/>
        <w:sz w:val="22"/>
      </w:rPr>
      <w:tcPr>
        <w:shd w:val="clear" w:color="f4b184" w:themeColor="accent2" w:themeTint="97" w:fill="f4b184" w:themeFill="accent2" w:themeFillTint="97"/>
        <w:tcBorders>
          <w:top w:val="single" w:color="F4B184" w:themeColor="accent2" w:themeTint="97" w:sz="4" w:space="0"/>
          <w:left w:val="single" w:color="F4B184" w:themeColor="accent2" w:themeTint="97" w:sz="4" w:space="0"/>
          <w:bottom w:val="single" w:color="F4B184" w:themeColor="accent2" w:themeTint="97" w:sz="4" w:space="0"/>
          <w:right w:val="single" w:color="F4B184" w:themeColor="accent2" w:themeTint="97" w:sz="4" w:space="0"/>
        </w:tcBorders>
      </w:tcPr>
    </w:tblStylePr>
    <w:tblStylePr w:type="lastCol">
      <w:rPr>
        <w:b/>
        <w:color w:val="404040"/>
      </w:rPr>
    </w:tblStylePr>
    <w:tblStylePr w:type="lastRow">
      <w:rPr>
        <w:b/>
        <w:color w:val="404040"/>
      </w:rPr>
      <w:tcPr>
        <w:tcBorders>
          <w:top w:val="single" w:color="F4B184" w:themeColor="accent2" w:themeTint="97" w:sz="4" w:space="0"/>
        </w:tcBorders>
      </w:tcPr>
    </w:tblStylePr>
  </w:style>
  <w:style w:type="table" w:styleId="1208" w:customStyle="1">
    <w:name w:val="Grid Table 4 - Accent 3"/>
    <w:basedOn w:val="1157"/>
    <w:uiPriority w:val="59"/>
    <w:pPr>
      <w:spacing w:after="0" w:line="240" w:lineRule="auto"/>
    </w:pPr>
    <w:tblPr>
      <w:tblStyleRowBandSize w:val="1"/>
      <w:tblStyleColBandSize w:val="1"/>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insideV w:val="single" w:color="CCCCCC" w:themeColor="accent3" w:themeTint="90" w:sz="4" w:space="0"/>
      </w:tblBorders>
    </w:tblPr>
    <w:tblStylePr w:type="band1Horz">
      <w:rPr>
        <w:rFonts w:ascii="Arial" w:hAnsi="Arial"/>
        <w:color w:val="404040"/>
        <w:sz w:val="22"/>
      </w:rPr>
      <w:tcPr>
        <w:shd w:val="clear" w:color="ececec" w:themeColor="accent3" w:themeTint="34" w:fill="ececec" w:themeFill="accent3" w:themeFillTint="34"/>
      </w:tcPr>
    </w:tblStylePr>
    <w:tblStylePr w:type="band1Vert">
      <w:rPr>
        <w:rFonts w:ascii="Arial" w:hAnsi="Arial"/>
        <w:color w:val="404040"/>
        <w:sz w:val="22"/>
      </w:rPr>
      <w:tcPr>
        <w:shd w:val="clear" w:color="ececec" w:themeColor="accent3" w:themeTint="34" w:fill="ececec" w:themeFill="accent3" w:themeFillTint="34"/>
      </w:tcPr>
    </w:tblStylePr>
    <w:tblStylePr w:type="firstCol">
      <w:rPr>
        <w:b/>
        <w:color w:val="404040"/>
      </w:rPr>
    </w:tblStylePr>
    <w:tblStylePr w:type="firstRow">
      <w:rPr>
        <w:rFonts w:ascii="Arial" w:hAnsi="Arial"/>
        <w:b/>
        <w:color w:val="ffffff"/>
        <w:sz w:val="22"/>
      </w:rPr>
      <w:tcPr>
        <w:shd w:val="clear" w:color="a5a5a5" w:themeColor="accent3" w:themeTint="FE" w:fill="a5a5a5" w:themeFill="accent3" w:themeFillTint="FE"/>
        <w:tcBorders>
          <w:top w:val="single" w:color="A5A5A5" w:themeColor="accent3" w:themeTint="FE" w:sz="4" w:space="0"/>
          <w:left w:val="single" w:color="A5A5A5" w:themeColor="accent3" w:themeTint="FE" w:sz="4" w:space="0"/>
          <w:bottom w:val="single" w:color="A5A5A5" w:themeColor="accent3" w:themeTint="FE" w:sz="4" w:space="0"/>
          <w:right w:val="single" w:color="A5A5A5" w:themeColor="accent3" w:themeTint="FE" w:sz="4" w:space="0"/>
        </w:tcBorders>
      </w:tcPr>
    </w:tblStylePr>
    <w:tblStylePr w:type="lastCol">
      <w:rPr>
        <w:b/>
        <w:color w:val="404040"/>
      </w:rPr>
    </w:tblStylePr>
    <w:tblStylePr w:type="lastRow">
      <w:rPr>
        <w:b/>
        <w:color w:val="404040"/>
      </w:rPr>
      <w:tcPr>
        <w:tcBorders>
          <w:top w:val="single" w:color="A5A5A5" w:themeColor="accent3" w:themeTint="FE" w:sz="4" w:space="0"/>
        </w:tcBorders>
      </w:tcPr>
    </w:tblStylePr>
  </w:style>
  <w:style w:type="table" w:styleId="1209" w:customStyle="1">
    <w:name w:val="Grid Table 4 - Accent 4"/>
    <w:basedOn w:val="1157"/>
    <w:uiPriority w:val="59"/>
    <w:pPr>
      <w:spacing w:after="0" w:line="240" w:lineRule="auto"/>
    </w:pPr>
    <w:tblPr>
      <w:tblStyleRowBandSize w:val="1"/>
      <w:tblStyleColBandSize w:val="1"/>
      <w:tblBorders>
        <w:top w:val="single" w:color="FFDB6F" w:themeColor="accent4" w:themeTint="90" w:sz="4" w:space="0"/>
        <w:left w:val="single" w:color="FFDB6F" w:themeColor="accent4" w:themeTint="90" w:sz="4" w:space="0"/>
        <w:bottom w:val="single" w:color="FFDB6F" w:themeColor="accent4" w:themeTint="90" w:sz="4" w:space="0"/>
        <w:right w:val="single" w:color="FFDB6F" w:themeColor="accent4" w:themeTint="90" w:sz="4" w:space="0"/>
        <w:insideH w:val="single" w:color="FFDB6F" w:themeColor="accent4" w:themeTint="90" w:sz="4" w:space="0"/>
        <w:insideV w:val="single" w:color="FFDB6F" w:themeColor="accent4" w:themeTint="90" w:sz="4" w:space="0"/>
      </w:tblBorders>
    </w:tblPr>
    <w:tblStylePr w:type="band1Horz">
      <w:rPr>
        <w:rFonts w:ascii="Arial" w:hAnsi="Arial"/>
        <w:color w:val="404040"/>
        <w:sz w:val="22"/>
      </w:rPr>
      <w:tcPr>
        <w:shd w:val="clear" w:color="fff2cb" w:themeColor="accent4" w:themeTint="34" w:fill="fff2cb" w:themeFill="accent4" w:themeFillTint="34"/>
      </w:tcPr>
    </w:tblStylePr>
    <w:tblStylePr w:type="band1Vert">
      <w:rPr>
        <w:rFonts w:ascii="Arial" w:hAnsi="Arial"/>
        <w:color w:val="404040"/>
        <w:sz w:val="22"/>
      </w:rPr>
      <w:tcPr>
        <w:shd w:val="clear" w:color="fff2cb" w:themeColor="accent4" w:themeTint="34" w:fill="fff2cb" w:themeFill="accent4" w:themeFillTint="34"/>
      </w:tcPr>
    </w:tblStylePr>
    <w:tblStylePr w:type="firstCol">
      <w:rPr>
        <w:b/>
        <w:color w:val="404040"/>
      </w:rPr>
    </w:tblStylePr>
    <w:tblStylePr w:type="firstRow">
      <w:rPr>
        <w:rFonts w:ascii="Arial" w:hAnsi="Arial"/>
        <w:b/>
        <w:color w:val="ffffff"/>
        <w:sz w:val="22"/>
      </w:rPr>
      <w:tcPr>
        <w:shd w:val="clear" w:color="ffd865" w:themeColor="accent4" w:themeTint="9A" w:fill="ffd865" w:themeFill="accent4" w:themeFillTint="9A"/>
        <w:tcBorders>
          <w:top w:val="single" w:color="FFD865" w:themeColor="accent4" w:themeTint="9A" w:sz="4" w:space="0"/>
          <w:left w:val="single" w:color="FFD865" w:themeColor="accent4" w:themeTint="9A" w:sz="4" w:space="0"/>
          <w:bottom w:val="single" w:color="FFD865" w:themeColor="accent4" w:themeTint="9A" w:sz="4" w:space="0"/>
          <w:right w:val="single" w:color="FFD865" w:themeColor="accent4" w:themeTint="9A" w:sz="4" w:space="0"/>
        </w:tcBorders>
      </w:tcPr>
    </w:tblStylePr>
    <w:tblStylePr w:type="lastCol">
      <w:rPr>
        <w:b/>
        <w:color w:val="404040"/>
      </w:rPr>
    </w:tblStylePr>
    <w:tblStylePr w:type="lastRow">
      <w:rPr>
        <w:b/>
        <w:color w:val="404040"/>
      </w:rPr>
      <w:tcPr>
        <w:tcBorders>
          <w:top w:val="single" w:color="FFD865" w:themeColor="accent4" w:themeTint="9A" w:sz="4" w:space="0"/>
        </w:tcBorders>
      </w:tcPr>
    </w:tblStylePr>
  </w:style>
  <w:style w:type="table" w:styleId="1210" w:customStyle="1">
    <w:name w:val="Grid Table 4 - Accent 5"/>
    <w:basedOn w:val="1157"/>
    <w:uiPriority w:val="59"/>
    <w:pPr>
      <w:spacing w:after="0" w:line="240" w:lineRule="auto"/>
    </w:pPr>
    <w:tblPr>
      <w:tblStyleRowBandSize w:val="1"/>
      <w:tblStyleColBandSize w:val="1"/>
      <w:tblBorders>
        <w:top w:val="single" w:color="95AFDD" w:themeColor="accent5" w:themeTint="90" w:sz="4" w:space="0"/>
        <w:left w:val="single" w:color="95AFDD" w:themeColor="accent5" w:themeTint="90" w:sz="4" w:space="0"/>
        <w:bottom w:val="single" w:color="95AFDD" w:themeColor="accent5" w:themeTint="90" w:sz="4" w:space="0"/>
        <w:right w:val="single" w:color="95AFDD" w:themeColor="accent5" w:themeTint="90" w:sz="4" w:space="0"/>
        <w:insideH w:val="single" w:color="95AFDD" w:themeColor="accent5" w:themeTint="90" w:sz="4" w:space="0"/>
        <w:insideV w:val="single" w:color="95AFDD" w:themeColor="accent5" w:themeTint="90" w:sz="4" w:space="0"/>
      </w:tblBorders>
    </w:tblPr>
    <w:tblStylePr w:type="band1Horz">
      <w:rPr>
        <w:rFonts w:ascii="Arial" w:hAnsi="Arial"/>
        <w:color w:val="404040"/>
        <w:sz w:val="22"/>
      </w:rPr>
      <w:tcPr>
        <w:shd w:val="clear" w:color="d8e2f3" w:themeColor="accent5" w:themeTint="34" w:fill="d8e2f3" w:themeFill="accent5" w:themeFillTint="34"/>
      </w:tcPr>
    </w:tblStylePr>
    <w:tblStylePr w:type="band1Vert">
      <w:rPr>
        <w:rFonts w:ascii="Arial" w:hAnsi="Arial"/>
        <w:color w:val="404040"/>
        <w:sz w:val="22"/>
      </w:rPr>
      <w:tcPr>
        <w:shd w:val="clear" w:color="d8e2f3" w:themeColor="accent5" w:themeTint="34" w:fill="d8e2f3" w:themeFill="accent5" w:themeFillTint="34"/>
      </w:tcPr>
    </w:tblStylePr>
    <w:tblStylePr w:type="firstCol">
      <w:rPr>
        <w:b/>
        <w:color w:val="404040"/>
      </w:rPr>
    </w:tblStylePr>
    <w:tblStylePr w:type="firstRow">
      <w:rPr>
        <w:rFonts w:ascii="Arial" w:hAnsi="Arial"/>
        <w:b/>
        <w:color w:val="ffffff"/>
        <w:sz w:val="22"/>
      </w:rPr>
      <w:tcPr>
        <w:shd w:val="clear" w:color="4472c4" w:themeColor="accent5" w:fill="4472c4" w:themeFill="accent5"/>
        <w:tcBorders>
          <w:top w:val="single" w:color="4472C4" w:themeColor="accent5" w:sz="4" w:space="0"/>
          <w:left w:val="single" w:color="4472C4" w:themeColor="accent5" w:sz="4" w:space="0"/>
          <w:bottom w:val="single" w:color="4472C4" w:themeColor="accent5" w:sz="4" w:space="0"/>
          <w:right w:val="single" w:color="4472C4" w:themeColor="accent5" w:sz="4" w:space="0"/>
        </w:tcBorders>
      </w:tcPr>
    </w:tblStylePr>
    <w:tblStylePr w:type="lastCol">
      <w:rPr>
        <w:b/>
        <w:color w:val="404040"/>
      </w:rPr>
    </w:tblStylePr>
    <w:tblStylePr w:type="lastRow">
      <w:rPr>
        <w:b/>
        <w:color w:val="404040"/>
      </w:rPr>
      <w:tcPr>
        <w:tcBorders>
          <w:top w:val="single" w:color="4472C4" w:themeColor="accent5" w:sz="4" w:space="0"/>
        </w:tcBorders>
      </w:tcPr>
    </w:tblStylePr>
  </w:style>
  <w:style w:type="table" w:styleId="1211" w:customStyle="1">
    <w:name w:val="Grid Table 4 - Accent 6"/>
    <w:basedOn w:val="1157"/>
    <w:uiPriority w:val="59"/>
    <w:pPr>
      <w:spacing w:after="0" w:line="240" w:lineRule="auto"/>
    </w:pPr>
    <w:tblPr>
      <w:tblStyleRowBandSize w:val="1"/>
      <w:tblStyleColBandSize w:val="1"/>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Pr>
    <w:tblStylePr w:type="band1Horz">
      <w:rPr>
        <w:rFonts w:ascii="Arial" w:hAnsi="Arial"/>
        <w:color w:val="404040"/>
        <w:sz w:val="22"/>
      </w:rPr>
      <w:tcPr>
        <w:shd w:val="clear" w:color="e1efd8" w:themeColor="accent6" w:themeTint="34" w:fill="e1efd8" w:themeFill="accent6" w:themeFillTint="34"/>
      </w:tcPr>
    </w:tblStylePr>
    <w:tblStylePr w:type="band1Vert">
      <w:rPr>
        <w:rFonts w:ascii="Arial" w:hAnsi="Arial"/>
        <w:color w:val="404040"/>
        <w:sz w:val="22"/>
      </w:rPr>
      <w:tcPr>
        <w:shd w:val="clear" w:color="e1efd8" w:themeColor="accent6" w:themeTint="34" w:fill="e1efd8" w:themeFill="accent6" w:themeFillTint="34"/>
      </w:tcPr>
    </w:tblStylePr>
    <w:tblStylePr w:type="firstCol">
      <w:rPr>
        <w:b/>
        <w:color w:val="404040"/>
      </w:rPr>
    </w:tblStylePr>
    <w:tblStylePr w:type="firstRow">
      <w:rPr>
        <w:rFonts w:ascii="Arial" w:hAnsi="Arial"/>
        <w:b/>
        <w:color w:val="ffffff"/>
        <w:sz w:val="22"/>
      </w:rPr>
      <w:tcPr>
        <w:shd w:val="clear" w:color="70ad47" w:themeColor="accent6" w:fill="70ad47" w:themeFill="accent6"/>
        <w:tcBorders>
          <w:top w:val="single" w:color="70AD47" w:themeColor="accent6" w:sz="4" w:space="0"/>
          <w:left w:val="single" w:color="70AD47" w:themeColor="accent6" w:sz="4" w:space="0"/>
          <w:bottom w:val="single" w:color="70AD47" w:themeColor="accent6" w:sz="4" w:space="0"/>
          <w:right w:val="single" w:color="70AD47" w:themeColor="accent6" w:sz="4" w:space="0"/>
        </w:tcBorders>
      </w:tcPr>
    </w:tblStylePr>
    <w:tblStylePr w:type="lastCol">
      <w:rPr>
        <w:b/>
        <w:color w:val="404040"/>
      </w:rPr>
    </w:tblStylePr>
    <w:tblStylePr w:type="lastRow">
      <w:rPr>
        <w:b/>
        <w:color w:val="404040"/>
      </w:rPr>
      <w:tcPr>
        <w:tcBorders>
          <w:top w:val="single" w:color="70AD47" w:themeColor="accent6" w:sz="4" w:space="0"/>
        </w:tcBorders>
      </w:tcPr>
    </w:tblStylePr>
  </w:style>
  <w:style w:type="table" w:styleId="1212">
    <w:name w:val="Grid Table 5 Dark"/>
    <w:basedOn w:val="1157"/>
    <w:uiPriority w:val="99"/>
    <w:pPr>
      <w:spacing w:after="0" w:line="240" w:lineRule="auto"/>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bfbfbf" w:themeColor="text1" w:themeTint="40" w:fill="bfbfbf" w:themeFill="text1" w:themeFillTint="40"/>
    </w:tblPr>
    <w:tblStylePr w:type="band1Horz">
      <w:tcPr>
        <w:shd w:val="clear" w:color="8a8a8a" w:themeColor="text1" w:themeTint="75" w:fill="8a8a8a" w:themeFill="text1" w:themeFillTint="75"/>
      </w:tcPr>
    </w:tblStylePr>
    <w:tblStylePr w:type="band1Vert">
      <w:tcPr>
        <w:shd w:val="clear" w:color="8a8a8a" w:themeColor="text1" w:themeTint="75" w:fill="8a8a8a" w:themeFill="text1" w:themeFillTint="75"/>
      </w:tcPr>
    </w:tblStylePr>
    <w:tblStylePr w:type="firstCol">
      <w:rPr>
        <w:rFonts w:ascii="Arial" w:hAnsi="Arial"/>
        <w:b/>
        <w:color w:val="ffffff"/>
        <w:sz w:val="22"/>
      </w:rPr>
      <w:tcPr>
        <w:shd w:val="clear" w:color="000000" w:themeColor="text1" w:fill="000000" w:themeFill="text1"/>
      </w:tcPr>
    </w:tblStylePr>
    <w:tblStylePr w:type="firstRow">
      <w:rPr>
        <w:rFonts w:ascii="Arial" w:hAnsi="Arial"/>
        <w:b/>
        <w:color w:val="ffffff"/>
        <w:sz w:val="22"/>
      </w:rPr>
      <w:tcPr>
        <w:shd w:val="clear" w:color="000000" w:themeColor="text1" w:fill="000000" w:themeFill="text1"/>
      </w:tcPr>
    </w:tblStylePr>
    <w:tblStylePr w:type="lastCol">
      <w:rPr>
        <w:rFonts w:ascii="Arial" w:hAnsi="Arial"/>
        <w:b/>
        <w:color w:val="ffffff"/>
        <w:sz w:val="22"/>
      </w:rPr>
      <w:tcPr>
        <w:shd w:val="clear" w:color="000000" w:themeColor="text1" w:fill="000000" w:themeFill="text1"/>
      </w:tcPr>
    </w:tblStylePr>
    <w:tblStylePr w:type="lastRow">
      <w:rPr>
        <w:rFonts w:ascii="Arial" w:hAnsi="Arial"/>
        <w:b/>
        <w:color w:val="ffffff"/>
        <w:sz w:val="22"/>
      </w:rPr>
      <w:tcPr>
        <w:shd w:val="clear" w:color="000000" w:themeColor="text1" w:fill="000000" w:themeFill="text1"/>
        <w:tcBorders>
          <w:top w:val="single" w:color="FFFFFF" w:themeColor="light1" w:sz="4" w:space="0"/>
        </w:tcBorders>
      </w:tcPr>
    </w:tblStylePr>
  </w:style>
  <w:style w:type="table" w:styleId="1213" w:customStyle="1">
    <w:name w:val="Grid Table 5 Dark- Accent 1"/>
    <w:basedOn w:val="1157"/>
    <w:uiPriority w:val="99"/>
    <w:pPr>
      <w:spacing w:after="0" w:line="240" w:lineRule="auto"/>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ddeaf6" w:themeColor="accent1" w:themeTint="34" w:fill="ddeaf6" w:themeFill="accent1" w:themeFillTint="34"/>
    </w:tblPr>
    <w:tblStylePr w:type="band1Horz">
      <w:tcPr>
        <w:shd w:val="clear" w:color="b3d0eb" w:themeColor="accent1" w:themeTint="75" w:fill="b3d0eb" w:themeFill="accent1" w:themeFillTint="75"/>
      </w:tcPr>
    </w:tblStylePr>
    <w:tblStylePr w:type="band1Vert">
      <w:tcPr>
        <w:shd w:val="clear" w:color="b3d0eb" w:themeColor="accent1" w:themeTint="75" w:fill="b3d0eb" w:themeFill="accent1" w:themeFillTint="75"/>
      </w:tcPr>
    </w:tblStylePr>
    <w:tblStylePr w:type="firstCol">
      <w:rPr>
        <w:rFonts w:ascii="Arial" w:hAnsi="Arial"/>
        <w:b/>
        <w:color w:val="ffffff"/>
        <w:sz w:val="22"/>
      </w:rPr>
      <w:tcPr>
        <w:shd w:val="clear" w:color="5b9bd5" w:themeColor="accent1" w:fill="5b9bd5" w:themeFill="accent1"/>
      </w:tcPr>
    </w:tblStylePr>
    <w:tblStylePr w:type="firstRow">
      <w:rPr>
        <w:rFonts w:ascii="Arial" w:hAnsi="Arial"/>
        <w:b/>
        <w:color w:val="ffffff"/>
        <w:sz w:val="22"/>
      </w:rPr>
      <w:tcPr>
        <w:shd w:val="clear" w:color="5b9bd5" w:themeColor="accent1" w:fill="5b9bd5" w:themeFill="accent1"/>
      </w:tcPr>
    </w:tblStylePr>
    <w:tblStylePr w:type="lastCol">
      <w:rPr>
        <w:rFonts w:ascii="Arial" w:hAnsi="Arial"/>
        <w:b/>
        <w:color w:val="ffffff"/>
        <w:sz w:val="22"/>
      </w:rPr>
      <w:tcPr>
        <w:shd w:val="clear" w:color="5b9bd5" w:themeColor="accent1" w:fill="5b9bd5" w:themeFill="accent1"/>
      </w:tcPr>
    </w:tblStylePr>
    <w:tblStylePr w:type="lastRow">
      <w:rPr>
        <w:rFonts w:ascii="Arial" w:hAnsi="Arial"/>
        <w:b/>
        <w:color w:val="ffffff"/>
        <w:sz w:val="22"/>
      </w:rPr>
      <w:tcPr>
        <w:shd w:val="clear" w:color="5b9bd5" w:themeColor="accent1" w:fill="5b9bd5" w:themeFill="accent1"/>
        <w:tcBorders>
          <w:top w:val="single" w:color="FFFFFF" w:themeColor="light1" w:sz="4" w:space="0"/>
        </w:tcBorders>
      </w:tcPr>
    </w:tblStylePr>
  </w:style>
  <w:style w:type="table" w:styleId="1214" w:customStyle="1">
    <w:name w:val="Grid Table 5 Dark - Accent 2"/>
    <w:basedOn w:val="1157"/>
    <w:uiPriority w:val="99"/>
    <w:pPr>
      <w:spacing w:after="0" w:line="240" w:lineRule="auto"/>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fbe5d6" w:themeColor="accent2" w:themeTint="32" w:fill="fbe5d6" w:themeFill="accent2" w:themeFillTint="32"/>
    </w:tblPr>
    <w:tblStylePr w:type="band1Horz">
      <w:tcPr>
        <w:shd w:val="clear" w:color="f6c3a0" w:themeColor="accent2" w:themeTint="75" w:fill="f6c3a0" w:themeFill="accent2" w:themeFillTint="75"/>
      </w:tcPr>
    </w:tblStylePr>
    <w:tblStylePr w:type="band1Vert">
      <w:tcPr>
        <w:shd w:val="clear" w:color="f6c3a0" w:themeColor="accent2" w:themeTint="75" w:fill="f6c3a0" w:themeFill="accent2" w:themeFillTint="75"/>
      </w:tcPr>
    </w:tblStylePr>
    <w:tblStylePr w:type="firstCol">
      <w:rPr>
        <w:rFonts w:ascii="Arial" w:hAnsi="Arial"/>
        <w:b/>
        <w:color w:val="ffffff"/>
        <w:sz w:val="22"/>
      </w:rPr>
      <w:tcPr>
        <w:shd w:val="clear" w:color="ed7d31" w:themeColor="accent2" w:fill="ed7d31" w:themeFill="accent2"/>
      </w:tcPr>
    </w:tblStylePr>
    <w:tblStylePr w:type="firstRow">
      <w:rPr>
        <w:rFonts w:ascii="Arial" w:hAnsi="Arial"/>
        <w:b/>
        <w:color w:val="ffffff"/>
        <w:sz w:val="22"/>
      </w:rPr>
      <w:tcPr>
        <w:shd w:val="clear" w:color="ed7d31" w:themeColor="accent2" w:fill="ed7d31" w:themeFill="accent2"/>
      </w:tcPr>
    </w:tblStylePr>
    <w:tblStylePr w:type="lastCol">
      <w:rPr>
        <w:rFonts w:ascii="Arial" w:hAnsi="Arial"/>
        <w:b/>
        <w:color w:val="ffffff"/>
        <w:sz w:val="22"/>
      </w:rPr>
      <w:tcPr>
        <w:shd w:val="clear" w:color="ed7d31" w:themeColor="accent2" w:fill="ed7d31" w:themeFill="accent2"/>
      </w:tcPr>
    </w:tblStylePr>
    <w:tblStylePr w:type="lastRow">
      <w:rPr>
        <w:rFonts w:ascii="Arial" w:hAnsi="Arial"/>
        <w:b/>
        <w:color w:val="ffffff"/>
        <w:sz w:val="22"/>
      </w:rPr>
      <w:tcPr>
        <w:shd w:val="clear" w:color="ed7d31" w:themeColor="accent2" w:fill="ed7d31" w:themeFill="accent2"/>
        <w:tcBorders>
          <w:top w:val="single" w:color="FFFFFF" w:themeColor="light1" w:sz="4" w:space="0"/>
        </w:tcBorders>
      </w:tcPr>
    </w:tblStylePr>
  </w:style>
  <w:style w:type="table" w:styleId="1215" w:customStyle="1">
    <w:name w:val="Grid Table 5 Dark - Accent 3"/>
    <w:basedOn w:val="1157"/>
    <w:uiPriority w:val="99"/>
    <w:pPr>
      <w:spacing w:after="0" w:line="240" w:lineRule="auto"/>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ececec" w:themeColor="accent3" w:themeTint="34" w:fill="ececec" w:themeFill="accent3" w:themeFillTint="34"/>
    </w:tblPr>
    <w:tblStylePr w:type="band1Horz">
      <w:tcPr>
        <w:shd w:val="clear" w:color="d5d5d5" w:themeColor="accent3" w:themeTint="75" w:fill="d5d5d5" w:themeFill="accent3" w:themeFillTint="75"/>
      </w:tcPr>
    </w:tblStylePr>
    <w:tblStylePr w:type="band1Vert">
      <w:tcPr>
        <w:shd w:val="clear" w:color="d5d5d5" w:themeColor="accent3" w:themeTint="75" w:fill="d5d5d5" w:themeFill="accent3" w:themeFillTint="75"/>
      </w:tcPr>
    </w:tblStylePr>
    <w:tblStylePr w:type="firstCol">
      <w:rPr>
        <w:rFonts w:ascii="Arial" w:hAnsi="Arial"/>
        <w:b/>
        <w:color w:val="ffffff"/>
        <w:sz w:val="22"/>
      </w:rPr>
      <w:tcPr>
        <w:shd w:val="clear" w:color="a5a5a5" w:themeColor="accent3" w:fill="a5a5a5" w:themeFill="accent3"/>
      </w:tcPr>
    </w:tblStylePr>
    <w:tblStylePr w:type="firstRow">
      <w:rPr>
        <w:rFonts w:ascii="Arial" w:hAnsi="Arial"/>
        <w:b/>
        <w:color w:val="ffffff"/>
        <w:sz w:val="22"/>
      </w:rPr>
      <w:tcPr>
        <w:shd w:val="clear" w:color="a5a5a5" w:themeColor="accent3" w:fill="a5a5a5" w:themeFill="accent3"/>
      </w:tcPr>
    </w:tblStylePr>
    <w:tblStylePr w:type="lastCol">
      <w:rPr>
        <w:rFonts w:ascii="Arial" w:hAnsi="Arial"/>
        <w:b/>
        <w:color w:val="ffffff"/>
        <w:sz w:val="22"/>
      </w:rPr>
      <w:tcPr>
        <w:shd w:val="clear" w:color="a5a5a5" w:themeColor="accent3" w:fill="a5a5a5" w:themeFill="accent3"/>
      </w:tcPr>
    </w:tblStylePr>
    <w:tblStylePr w:type="lastRow">
      <w:rPr>
        <w:rFonts w:ascii="Arial" w:hAnsi="Arial"/>
        <w:b/>
        <w:color w:val="ffffff"/>
        <w:sz w:val="22"/>
      </w:rPr>
      <w:tcPr>
        <w:shd w:val="clear" w:color="a5a5a5" w:themeColor="accent3" w:fill="a5a5a5" w:themeFill="accent3"/>
        <w:tcBorders>
          <w:top w:val="single" w:color="FFFFFF" w:themeColor="light1" w:sz="4" w:space="0"/>
        </w:tcBorders>
      </w:tcPr>
    </w:tblStylePr>
  </w:style>
  <w:style w:type="table" w:styleId="1216" w:customStyle="1">
    <w:name w:val="Grid Table 5 Dark- Accent 4"/>
    <w:basedOn w:val="1157"/>
    <w:uiPriority w:val="99"/>
    <w:pPr>
      <w:spacing w:after="0" w:line="240" w:lineRule="auto"/>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fff2cb" w:themeColor="accent4" w:themeTint="34" w:fill="fff2cb" w:themeFill="accent4" w:themeFillTint="34"/>
    </w:tblPr>
    <w:tblStylePr w:type="band1Horz">
      <w:tcPr>
        <w:shd w:val="clear" w:color="ffe28a" w:themeColor="accent4" w:themeTint="75" w:fill="ffe28a" w:themeFill="accent4" w:themeFillTint="75"/>
      </w:tcPr>
    </w:tblStylePr>
    <w:tblStylePr w:type="band1Vert">
      <w:tcPr>
        <w:shd w:val="clear" w:color="ffe28a" w:themeColor="accent4" w:themeTint="75" w:fill="ffe28a" w:themeFill="accent4" w:themeFillTint="75"/>
      </w:tcPr>
    </w:tblStylePr>
    <w:tblStylePr w:type="firstCol">
      <w:rPr>
        <w:rFonts w:ascii="Arial" w:hAnsi="Arial"/>
        <w:b/>
        <w:color w:val="ffffff"/>
        <w:sz w:val="22"/>
      </w:rPr>
      <w:tcPr>
        <w:shd w:val="clear" w:color="ffc000" w:themeColor="accent4" w:fill="ffc000" w:themeFill="accent4"/>
      </w:tcPr>
    </w:tblStylePr>
    <w:tblStylePr w:type="firstRow">
      <w:rPr>
        <w:rFonts w:ascii="Arial" w:hAnsi="Arial"/>
        <w:b/>
        <w:color w:val="ffffff"/>
        <w:sz w:val="22"/>
      </w:rPr>
      <w:tcPr>
        <w:shd w:val="clear" w:color="ffc000" w:themeColor="accent4" w:fill="ffc000" w:themeFill="accent4"/>
      </w:tcPr>
    </w:tblStylePr>
    <w:tblStylePr w:type="lastCol">
      <w:rPr>
        <w:rFonts w:ascii="Arial" w:hAnsi="Arial"/>
        <w:b/>
        <w:color w:val="ffffff"/>
        <w:sz w:val="22"/>
      </w:rPr>
      <w:tcPr>
        <w:shd w:val="clear" w:color="ffc000" w:themeColor="accent4" w:fill="ffc000" w:themeFill="accent4"/>
      </w:tcPr>
    </w:tblStylePr>
    <w:tblStylePr w:type="lastRow">
      <w:rPr>
        <w:rFonts w:ascii="Arial" w:hAnsi="Arial"/>
        <w:b/>
        <w:color w:val="ffffff"/>
        <w:sz w:val="22"/>
      </w:rPr>
      <w:tcPr>
        <w:shd w:val="clear" w:color="ffc000" w:themeColor="accent4" w:fill="ffc000" w:themeFill="accent4"/>
        <w:tcBorders>
          <w:top w:val="single" w:color="FFFFFF" w:themeColor="light1" w:sz="4" w:space="0"/>
        </w:tcBorders>
      </w:tcPr>
    </w:tblStylePr>
  </w:style>
  <w:style w:type="table" w:styleId="1217" w:customStyle="1">
    <w:name w:val="Grid Table 5 Dark - Accent 5"/>
    <w:basedOn w:val="1157"/>
    <w:uiPriority w:val="99"/>
    <w:pPr>
      <w:spacing w:after="0" w:line="240" w:lineRule="auto"/>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d8e2f3" w:themeColor="accent5" w:themeTint="34" w:fill="d8e2f3" w:themeFill="accent5" w:themeFillTint="34"/>
    </w:tblPr>
    <w:tblStylePr w:type="band1Horz">
      <w:tcPr>
        <w:shd w:val="clear" w:color="a9bee4" w:themeColor="accent5" w:themeTint="75" w:fill="a9bee4" w:themeFill="accent5" w:themeFillTint="75"/>
      </w:tcPr>
    </w:tblStylePr>
    <w:tblStylePr w:type="band1Vert">
      <w:tcPr>
        <w:shd w:val="clear" w:color="a9bee4" w:themeColor="accent5" w:themeTint="75" w:fill="a9bee4" w:themeFill="accent5" w:themeFillTint="75"/>
      </w:tcPr>
    </w:tblStylePr>
    <w:tblStylePr w:type="firstCol">
      <w:rPr>
        <w:rFonts w:ascii="Arial" w:hAnsi="Arial"/>
        <w:b/>
        <w:color w:val="ffffff"/>
        <w:sz w:val="22"/>
      </w:rPr>
      <w:tcPr>
        <w:shd w:val="clear" w:color="4472c4" w:themeColor="accent5" w:fill="4472c4" w:themeFill="accent5"/>
      </w:tcPr>
    </w:tblStylePr>
    <w:tblStylePr w:type="firstRow">
      <w:rPr>
        <w:rFonts w:ascii="Arial" w:hAnsi="Arial"/>
        <w:b/>
        <w:color w:val="ffffff"/>
        <w:sz w:val="22"/>
      </w:rPr>
      <w:tcPr>
        <w:shd w:val="clear" w:color="4472c4" w:themeColor="accent5" w:fill="4472c4" w:themeFill="accent5"/>
      </w:tcPr>
    </w:tblStylePr>
    <w:tblStylePr w:type="lastCol">
      <w:rPr>
        <w:rFonts w:ascii="Arial" w:hAnsi="Arial"/>
        <w:b/>
        <w:color w:val="ffffff"/>
        <w:sz w:val="22"/>
      </w:rPr>
      <w:tcPr>
        <w:shd w:val="clear" w:color="4472c4" w:themeColor="accent5" w:fill="4472c4" w:themeFill="accent5"/>
      </w:tcPr>
    </w:tblStylePr>
    <w:tblStylePr w:type="lastRow">
      <w:rPr>
        <w:rFonts w:ascii="Arial" w:hAnsi="Arial"/>
        <w:b/>
        <w:color w:val="ffffff"/>
        <w:sz w:val="22"/>
      </w:rPr>
      <w:tcPr>
        <w:shd w:val="clear" w:color="4472c4" w:themeColor="accent5" w:fill="4472c4" w:themeFill="accent5"/>
        <w:tcBorders>
          <w:top w:val="single" w:color="FFFFFF" w:themeColor="light1" w:sz="4" w:space="0"/>
        </w:tcBorders>
      </w:tcPr>
    </w:tblStylePr>
  </w:style>
  <w:style w:type="table" w:styleId="1218" w:customStyle="1">
    <w:name w:val="Grid Table 5 Dark - Accent 6"/>
    <w:basedOn w:val="1157"/>
    <w:uiPriority w:val="99"/>
    <w:pPr>
      <w:spacing w:after="0" w:line="240" w:lineRule="auto"/>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e1efd8" w:themeColor="accent6" w:themeTint="34" w:fill="e1efd8" w:themeFill="accent6" w:themeFillTint="34"/>
    </w:tblPr>
    <w:tblStylePr w:type="band1Horz">
      <w:tcPr>
        <w:shd w:val="clear" w:color="bcdba8" w:themeColor="accent6" w:themeTint="75" w:fill="bcdba8" w:themeFill="accent6" w:themeFillTint="75"/>
      </w:tcPr>
    </w:tblStylePr>
    <w:tblStylePr w:type="band1Vert">
      <w:tcPr>
        <w:shd w:val="clear" w:color="bcdba8" w:themeColor="accent6" w:themeTint="75" w:fill="bcdba8" w:themeFill="accent6" w:themeFillTint="75"/>
      </w:tcPr>
    </w:tblStylePr>
    <w:tblStylePr w:type="firstCol">
      <w:rPr>
        <w:rFonts w:ascii="Arial" w:hAnsi="Arial"/>
        <w:b/>
        <w:color w:val="ffffff"/>
        <w:sz w:val="22"/>
      </w:rPr>
      <w:tcPr>
        <w:shd w:val="clear" w:color="70ad47" w:themeColor="accent6" w:fill="70ad47" w:themeFill="accent6"/>
      </w:tcPr>
    </w:tblStylePr>
    <w:tblStylePr w:type="firstRow">
      <w:rPr>
        <w:rFonts w:ascii="Arial" w:hAnsi="Arial"/>
        <w:b/>
        <w:color w:val="ffffff"/>
        <w:sz w:val="22"/>
      </w:rPr>
      <w:tcPr>
        <w:shd w:val="clear" w:color="70ad47" w:themeColor="accent6" w:fill="70ad47" w:themeFill="accent6"/>
      </w:tcPr>
    </w:tblStylePr>
    <w:tblStylePr w:type="lastCol">
      <w:rPr>
        <w:rFonts w:ascii="Arial" w:hAnsi="Arial"/>
        <w:b/>
        <w:color w:val="ffffff"/>
        <w:sz w:val="22"/>
      </w:rPr>
      <w:tcPr>
        <w:shd w:val="clear" w:color="70ad47" w:themeColor="accent6" w:fill="70ad47" w:themeFill="accent6"/>
      </w:tcPr>
    </w:tblStylePr>
    <w:tblStylePr w:type="lastRow">
      <w:rPr>
        <w:rFonts w:ascii="Arial" w:hAnsi="Arial"/>
        <w:b/>
        <w:color w:val="ffffff"/>
        <w:sz w:val="22"/>
      </w:rPr>
      <w:tcPr>
        <w:shd w:val="clear" w:color="70ad47" w:themeColor="accent6" w:fill="70ad47" w:themeFill="accent6"/>
        <w:tcBorders>
          <w:top w:val="single" w:color="FFFFFF" w:themeColor="light1" w:sz="4" w:space="0"/>
        </w:tcBorders>
      </w:tcPr>
    </w:tblStylePr>
  </w:style>
  <w:style w:type="table" w:styleId="1219">
    <w:name w:val="Grid Table 6 Colorful"/>
    <w:basedOn w:val="1157"/>
    <w:uiPriority w:val="99"/>
    <w:pPr>
      <w:spacing w:after="0" w:line="240" w:lineRule="auto"/>
    </w:pPr>
    <w:tblPr>
      <w:tblStyleRowBandSize w:val="1"/>
      <w:tblStyleColBandSize w:val="1"/>
      <w:tbl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blStylePr w:type="band1Horz">
      <w:rPr>
        <w:rFonts w:ascii="Arial" w:hAnsi="Arial"/>
        <w:color w:val="7f7f7f" w:themeColor="text1" w:themeTint="80" w:themeShade="95"/>
        <w:sz w:val="22"/>
      </w:rPr>
      <w:tcPr>
        <w:shd w:val="clear" w:color="cbcbcb" w:themeColor="text1" w:themeTint="34" w:fill="cbcbcb" w:themeFill="text1" w:themeFillTint="34"/>
      </w:tcPr>
    </w:tblStylePr>
    <w:tblStylePr w:type="band1Vert">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tblStylePr w:type="firstCol">
      <w:rPr>
        <w:b/>
        <w:color w:val="7f7f7f" w:themeColor="text1" w:themeTint="80" w:themeShade="95"/>
      </w:rPr>
    </w:tblStylePr>
    <w:tblStylePr w:type="firstRow">
      <w:rPr>
        <w:b/>
        <w:color w:val="7f7f7f" w:themeColor="text1" w:themeTint="80" w:themeShade="95"/>
      </w:rPr>
      <w:tcPr>
        <w:tcBorders>
          <w:bottom w:val="single" w:color="7F7F7F" w:themeColor="text1" w:themeTint="80" w:sz="12" w:space="0"/>
        </w:tcBorders>
      </w:tcPr>
    </w:tblStylePr>
    <w:tblStylePr w:type="lastCol">
      <w:rPr>
        <w:b/>
        <w:color w:val="7f7f7f" w:themeColor="text1" w:themeTint="80" w:themeShade="95"/>
      </w:rPr>
    </w:tblStylePr>
    <w:tblStylePr w:type="lastRow">
      <w:rPr>
        <w:b/>
        <w:color w:val="7f7f7f" w:themeColor="text1" w:themeTint="80" w:themeShade="95"/>
      </w:rPr>
    </w:tblStylePr>
  </w:style>
  <w:style w:type="table" w:styleId="1220" w:customStyle="1">
    <w:name w:val="Grid Table 6 Colorful - Accent 1"/>
    <w:basedOn w:val="1157"/>
    <w:uiPriority w:val="99"/>
    <w:pPr>
      <w:spacing w:after="0" w:line="240" w:lineRule="auto"/>
    </w:pPr>
    <w:tblPr>
      <w:tblStyleRowBandSize w:val="1"/>
      <w:tblStyleColBandSize w:val="1"/>
      <w:tblBorders>
        <w:top w:val="single" w:color="ACCCEA" w:themeColor="accent1" w:themeTint="80" w:sz="4" w:space="0"/>
        <w:left w:val="single" w:color="ACCCEA" w:themeColor="accent1" w:themeTint="80" w:sz="4" w:space="0"/>
        <w:bottom w:val="single" w:color="ACCCEA" w:themeColor="accent1" w:themeTint="80" w:sz="4" w:space="0"/>
        <w:right w:val="single" w:color="ACCCEA" w:themeColor="accent1" w:themeTint="80" w:sz="4" w:space="0"/>
        <w:insideH w:val="single" w:color="ACCCEA" w:themeColor="accent1" w:themeTint="80" w:sz="4" w:space="0"/>
        <w:insideV w:val="single" w:color="ACCCEA" w:themeColor="accent1" w:themeTint="80" w:sz="4" w:space="0"/>
      </w:tblBorders>
    </w:tblPr>
    <w:tblStylePr w:type="band1Horz">
      <w:rPr>
        <w:rFonts w:ascii="Arial" w:hAnsi="Arial"/>
        <w:color w:val="acccea" w:themeColor="accent1" w:themeTint="80" w:themeShade="95"/>
        <w:sz w:val="22"/>
      </w:rPr>
      <w:tcPr>
        <w:shd w:val="clear" w:color="ddeaf6" w:themeColor="accent1" w:themeTint="34" w:fill="ddeaf6" w:themeFill="accent1" w:themeFillTint="34"/>
      </w:tcPr>
    </w:tblStylePr>
    <w:tblStylePr w:type="band1Vert">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tblStylePr w:type="firstCol">
      <w:rPr>
        <w:b/>
        <w:color w:val="acccea" w:themeColor="accent1" w:themeTint="80" w:themeShade="95"/>
      </w:rPr>
    </w:tblStylePr>
    <w:tblStylePr w:type="firstRow">
      <w:rPr>
        <w:b/>
        <w:color w:val="acccea" w:themeColor="accent1" w:themeTint="80" w:themeShade="95"/>
      </w:rPr>
      <w:tcPr>
        <w:tcBorders>
          <w:bottom w:val="single" w:color="ACCCEA" w:themeColor="accent1" w:themeTint="80" w:sz="12" w:space="0"/>
        </w:tcBorders>
      </w:tcPr>
    </w:tblStylePr>
    <w:tblStylePr w:type="lastCol">
      <w:rPr>
        <w:b/>
        <w:color w:val="acccea" w:themeColor="accent1" w:themeTint="80" w:themeShade="95"/>
      </w:rPr>
    </w:tblStylePr>
    <w:tblStylePr w:type="lastRow">
      <w:rPr>
        <w:b/>
        <w:color w:val="acccea" w:themeColor="accent1" w:themeTint="80" w:themeShade="95"/>
      </w:rPr>
    </w:tblStylePr>
  </w:style>
  <w:style w:type="table" w:styleId="1221" w:customStyle="1">
    <w:name w:val="Grid Table 6 Colorful - Accent 2"/>
    <w:basedOn w:val="1157"/>
    <w:uiPriority w:val="99"/>
    <w:pPr>
      <w:spacing w:after="0" w:line="240" w:lineRule="auto"/>
    </w:pPr>
    <w:tblPr>
      <w:tblStyleRowBandSize w:val="1"/>
      <w:tblStyleColBandSize w:val="1"/>
      <w:tblBorders>
        <w:top w:val="single" w:color="F4B184" w:themeColor="accent2" w:themeTint="97" w:sz="4" w:space="0"/>
        <w:left w:val="single" w:color="F4B184" w:themeColor="accent2" w:themeTint="97" w:sz="4" w:space="0"/>
        <w:bottom w:val="single" w:color="F4B184" w:themeColor="accent2" w:themeTint="97" w:sz="4" w:space="0"/>
        <w:right w:val="single" w:color="F4B184" w:themeColor="accent2" w:themeTint="97" w:sz="4" w:space="0"/>
        <w:insideH w:val="single" w:color="F4B184" w:themeColor="accent2" w:themeTint="97" w:sz="4" w:space="0"/>
        <w:insideV w:val="single" w:color="F4B184" w:themeColor="accent2" w:themeTint="97" w:sz="4" w:space="0"/>
      </w:tblBorders>
    </w:tblPr>
    <w:tblStylePr w:type="band1Horz">
      <w:rPr>
        <w:rFonts w:ascii="Arial" w:hAnsi="Arial"/>
        <w:color w:val="f4b184" w:themeColor="accent2" w:themeTint="97" w:themeShade="95"/>
        <w:sz w:val="22"/>
      </w:rPr>
      <w:tcPr>
        <w:shd w:val="clear" w:color="fbe5d6" w:themeColor="accent2" w:themeTint="32" w:fill="fbe5d6" w:themeFill="accent2" w:themeFillTint="32"/>
      </w:tcPr>
    </w:tblStylePr>
    <w:tblStylePr w:type="band1Vert">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tblStylePr w:type="firstCol">
      <w:rPr>
        <w:b/>
        <w:color w:val="f4b184" w:themeColor="accent2" w:themeTint="97" w:themeShade="95"/>
      </w:rPr>
    </w:tblStylePr>
    <w:tblStylePr w:type="firstRow">
      <w:rPr>
        <w:b/>
        <w:color w:val="f4b184" w:themeColor="accent2" w:themeTint="97" w:themeShade="95"/>
      </w:rPr>
      <w:tcPr>
        <w:tcBorders>
          <w:bottom w:val="single" w:color="F4B184" w:themeColor="accent2" w:themeTint="97" w:sz="12" w:space="0"/>
        </w:tcBorders>
      </w:tcPr>
    </w:tblStylePr>
    <w:tblStylePr w:type="lastCol">
      <w:rPr>
        <w:b/>
        <w:color w:val="f4b184" w:themeColor="accent2" w:themeTint="97" w:themeShade="95"/>
      </w:rPr>
    </w:tblStylePr>
    <w:tblStylePr w:type="lastRow">
      <w:rPr>
        <w:b/>
        <w:color w:val="f4b184" w:themeColor="accent2" w:themeTint="97" w:themeShade="95"/>
      </w:rPr>
    </w:tblStylePr>
  </w:style>
  <w:style w:type="table" w:styleId="1222" w:customStyle="1">
    <w:name w:val="Grid Table 6 Colorful - Accent 3"/>
    <w:basedOn w:val="1157"/>
    <w:uiPriority w:val="99"/>
    <w:pPr>
      <w:spacing w:after="0" w:line="240" w:lineRule="auto"/>
    </w:pPr>
    <w:tblPr>
      <w:tblStyleRowBandSize w:val="1"/>
      <w:tblStyleColBandSize w:val="1"/>
      <w:tblBorders>
        <w:top w:val="single" w:color="A5A5A5" w:themeColor="accent3" w:themeTint="FE" w:sz="4" w:space="0"/>
        <w:left w:val="single" w:color="A5A5A5" w:themeColor="accent3" w:themeTint="FE" w:sz="4" w:space="0"/>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Pr>
    <w:tblStylePr w:type="band1Horz">
      <w:rPr>
        <w:rFonts w:ascii="Arial" w:hAnsi="Arial"/>
        <w:color w:val="a5a5a5" w:themeColor="accent3" w:themeTint="FE" w:themeShade="95"/>
        <w:sz w:val="22"/>
      </w:rPr>
      <w:tcPr>
        <w:shd w:val="clear" w:color="ececec" w:themeColor="accent3" w:themeTint="34" w:fill="ececec" w:themeFill="accent3" w:themeFillTint="34"/>
      </w:tcPr>
    </w:tblStylePr>
    <w:tblStylePr w:type="band1Vert">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tblStylePr w:type="firstCol">
      <w:rPr>
        <w:b/>
        <w:color w:val="a5a5a5" w:themeColor="accent3" w:themeTint="FE" w:themeShade="95"/>
      </w:rPr>
    </w:tblStylePr>
    <w:tblStylePr w:type="firstRow">
      <w:rPr>
        <w:b/>
        <w:color w:val="a5a5a5" w:themeColor="accent3" w:themeTint="FE" w:themeShade="95"/>
      </w:rPr>
      <w:tcPr>
        <w:tcBorders>
          <w:bottom w:val="single" w:color="A5A5A5" w:themeColor="accent3" w:themeTint="FE" w:sz="12" w:space="0"/>
        </w:tcBorders>
      </w:tcPr>
    </w:tblStylePr>
    <w:tblStylePr w:type="lastCol">
      <w:rPr>
        <w:b/>
        <w:color w:val="a5a5a5" w:themeColor="accent3" w:themeTint="FE" w:themeShade="95"/>
      </w:rPr>
    </w:tblStylePr>
    <w:tblStylePr w:type="lastRow">
      <w:rPr>
        <w:b/>
        <w:color w:val="a5a5a5" w:themeColor="accent3" w:themeTint="FE" w:themeShade="95"/>
      </w:rPr>
    </w:tblStylePr>
  </w:style>
  <w:style w:type="table" w:styleId="1223" w:customStyle="1">
    <w:name w:val="Grid Table 6 Colorful - Accent 4"/>
    <w:basedOn w:val="1157"/>
    <w:uiPriority w:val="99"/>
    <w:pPr>
      <w:spacing w:after="0" w:line="240" w:lineRule="auto"/>
    </w:pPr>
    <w:tblPr>
      <w:tblStyleRowBandSize w:val="1"/>
      <w:tblStyleColBandSize w:val="1"/>
      <w:tblBorders>
        <w:top w:val="single" w:color="FFD865" w:themeColor="accent4" w:themeTint="9A" w:sz="4" w:space="0"/>
        <w:left w:val="single" w:color="FFD865" w:themeColor="accent4" w:themeTint="9A" w:sz="4" w:space="0"/>
        <w:bottom w:val="single" w:color="FFD865" w:themeColor="accent4" w:themeTint="9A" w:sz="4" w:space="0"/>
        <w:right w:val="single" w:color="FFD865" w:themeColor="accent4" w:themeTint="9A" w:sz="4" w:space="0"/>
        <w:insideH w:val="single" w:color="FFD865" w:themeColor="accent4" w:themeTint="9A" w:sz="4" w:space="0"/>
        <w:insideV w:val="single" w:color="FFD865" w:themeColor="accent4" w:themeTint="9A" w:sz="4" w:space="0"/>
      </w:tblBorders>
    </w:tblPr>
    <w:tblStylePr w:type="band1Horz">
      <w:rPr>
        <w:rFonts w:ascii="Arial" w:hAnsi="Arial"/>
        <w:color w:val="ffd865" w:themeColor="accent4" w:themeTint="9A" w:themeShade="95"/>
        <w:sz w:val="22"/>
      </w:rPr>
      <w:tcPr>
        <w:shd w:val="clear" w:color="fff2cb" w:themeColor="accent4" w:themeTint="34" w:fill="fff2cb" w:themeFill="accent4" w:themeFillTint="34"/>
      </w:tcPr>
    </w:tblStylePr>
    <w:tblStylePr w:type="band1Vert">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tblStylePr w:type="firstCol">
      <w:rPr>
        <w:b/>
        <w:color w:val="ffd865" w:themeColor="accent4" w:themeTint="9A" w:themeShade="95"/>
      </w:rPr>
    </w:tblStylePr>
    <w:tblStylePr w:type="firstRow">
      <w:rPr>
        <w:b/>
        <w:color w:val="ffd865" w:themeColor="accent4" w:themeTint="9A" w:themeShade="95"/>
      </w:rPr>
      <w:tcPr>
        <w:tcBorders>
          <w:bottom w:val="single" w:color="FFD865" w:themeColor="accent4" w:themeTint="9A" w:sz="12" w:space="0"/>
        </w:tcBorders>
      </w:tcPr>
    </w:tblStylePr>
    <w:tblStylePr w:type="lastCol">
      <w:rPr>
        <w:b/>
        <w:color w:val="ffd865" w:themeColor="accent4" w:themeTint="9A" w:themeShade="95"/>
      </w:rPr>
    </w:tblStylePr>
    <w:tblStylePr w:type="lastRow">
      <w:rPr>
        <w:b/>
        <w:color w:val="ffd865" w:themeColor="accent4" w:themeTint="9A" w:themeShade="95"/>
      </w:rPr>
    </w:tblStylePr>
  </w:style>
  <w:style w:type="table" w:styleId="1224" w:customStyle="1">
    <w:name w:val="Grid Table 6 Colorful - Accent 5"/>
    <w:basedOn w:val="1157"/>
    <w:uiPriority w:val="99"/>
    <w:pPr>
      <w:spacing w:after="0" w:line="240" w:lineRule="auto"/>
    </w:pPr>
    <w:tblPr>
      <w:tblStyleRowBandSize w:val="1"/>
      <w:tblStyleColBandSize w:val="1"/>
      <w:tblBorders>
        <w:top w:val="single" w:color="4472C4" w:themeColor="accent5" w:sz="4" w:space="0"/>
        <w:left w:val="single" w:color="4472C4" w:themeColor="accent5" w:sz="4" w:space="0"/>
        <w:bottom w:val="single" w:color="4472C4" w:themeColor="accent5" w:sz="4" w:space="0"/>
        <w:right w:val="single" w:color="4472C4" w:themeColor="accent5" w:sz="4" w:space="0"/>
        <w:insideH w:val="single" w:color="4472C4" w:themeColor="accent5" w:sz="4" w:space="0"/>
        <w:insideV w:val="single" w:color="4472C4" w:themeColor="accent5" w:sz="4" w:space="0"/>
      </w:tblBorders>
    </w:tblPr>
    <w:tblStylePr w:type="band1Horz">
      <w:rPr>
        <w:rFonts w:ascii="Arial" w:hAnsi="Arial"/>
        <w:color w:val="254175" w:themeColor="accent5" w:themeShade="95"/>
        <w:sz w:val="22"/>
      </w:rPr>
      <w:tcPr>
        <w:shd w:val="clear" w:color="d8e2f3" w:themeColor="accent5" w:themeTint="34" w:fill="d8e2f3" w:themeFill="accent5" w:themeFillTint="34"/>
      </w:tcPr>
    </w:tblStylePr>
    <w:tblStylePr w:type="band1Vert">
      <w:tcPr>
        <w:shd w:val="clear" w:color="d8e2f3" w:themeColor="accent5" w:themeTint="34" w:fill="d8e2f3" w:themeFill="accent5" w:themeFillTint="34"/>
      </w:tcPr>
    </w:tblStylePr>
    <w:tblStylePr w:type="band2Horz">
      <w:rPr>
        <w:rFonts w:ascii="Arial" w:hAnsi="Arial"/>
        <w:color w:val="254175" w:themeColor="accent5" w:themeShade="95"/>
        <w:sz w:val="22"/>
      </w:rPr>
    </w:tblStylePr>
    <w:tblStylePr w:type="firstCol">
      <w:rPr>
        <w:b/>
        <w:color w:val="254175" w:themeColor="accent5" w:themeShade="95"/>
      </w:rPr>
    </w:tblStylePr>
    <w:tblStylePr w:type="firstRow">
      <w:rPr>
        <w:b/>
        <w:color w:val="254175" w:themeColor="accent5" w:themeShade="95"/>
      </w:rPr>
      <w:tcPr>
        <w:tcBorders>
          <w:bottom w:val="single" w:color="4472C4" w:themeColor="accent5" w:sz="12" w:space="0"/>
        </w:tcBorders>
      </w:tcPr>
    </w:tblStylePr>
    <w:tblStylePr w:type="lastCol">
      <w:rPr>
        <w:b/>
        <w:color w:val="254175" w:themeColor="accent5" w:themeShade="95"/>
      </w:rPr>
    </w:tblStylePr>
    <w:tblStylePr w:type="lastRow">
      <w:rPr>
        <w:b/>
        <w:color w:val="254175" w:themeColor="accent5" w:themeShade="95"/>
      </w:rPr>
    </w:tblStylePr>
  </w:style>
  <w:style w:type="table" w:styleId="1225" w:customStyle="1">
    <w:name w:val="Grid Table 6 Colorful - Accent 6"/>
    <w:basedOn w:val="1157"/>
    <w:uiPriority w:val="99"/>
    <w:pPr>
      <w:spacing w:after="0" w:line="240" w:lineRule="auto"/>
    </w:pPr>
    <w:tblPr>
      <w:tblStyleRowBandSize w:val="1"/>
      <w:tblStyleColBandSize w:val="1"/>
      <w:tblBorders>
        <w:top w:val="single" w:color="70AD47" w:themeColor="accent6" w:sz="4" w:space="0"/>
        <w:left w:val="single" w:color="70AD47" w:themeColor="accent6" w:sz="4" w:space="0"/>
        <w:bottom w:val="single" w:color="70AD47" w:themeColor="accent6" w:sz="4" w:space="0"/>
        <w:right w:val="single" w:color="70AD47" w:themeColor="accent6" w:sz="4" w:space="0"/>
        <w:insideH w:val="single" w:color="70AD47" w:themeColor="accent6" w:sz="4" w:space="0"/>
        <w:insideV w:val="single" w:color="70AD47" w:themeColor="accent6" w:sz="4" w:space="0"/>
      </w:tblBorders>
    </w:tblPr>
    <w:tblStylePr w:type="band1Horz">
      <w:rPr>
        <w:rFonts w:ascii="Arial" w:hAnsi="Arial"/>
        <w:color w:val="254175" w:themeColor="accent5" w:themeShade="95"/>
        <w:sz w:val="22"/>
      </w:rPr>
      <w:tcPr>
        <w:shd w:val="clear" w:color="e1efd8" w:themeColor="accent6" w:themeTint="34" w:fill="e1efd8" w:themeFill="accent6" w:themeFillTint="34"/>
      </w:tcPr>
    </w:tblStylePr>
    <w:tblStylePr w:type="band1Vert">
      <w:tcPr>
        <w:shd w:val="clear" w:color="e1efd8" w:themeColor="accent6" w:themeTint="34" w:fill="e1efd8" w:themeFill="accent6" w:themeFillTint="34"/>
      </w:tcPr>
    </w:tblStylePr>
    <w:tblStylePr w:type="band2Horz">
      <w:rPr>
        <w:rFonts w:ascii="Arial" w:hAnsi="Arial"/>
        <w:color w:val="254175" w:themeColor="accent5" w:themeShade="95"/>
        <w:sz w:val="22"/>
      </w:rPr>
    </w:tblStylePr>
    <w:tblStylePr w:type="firstCol">
      <w:rPr>
        <w:b/>
        <w:color w:val="254175" w:themeColor="accent5" w:themeShade="95"/>
      </w:rPr>
    </w:tblStylePr>
    <w:tblStylePr w:type="firstRow">
      <w:rPr>
        <w:b/>
        <w:color w:val="254175" w:themeColor="accent5" w:themeShade="95"/>
      </w:rPr>
      <w:tcPr>
        <w:tcBorders>
          <w:bottom w:val="single" w:color="70AD47" w:themeColor="accent6" w:sz="12" w:space="0"/>
        </w:tcBorders>
      </w:tcPr>
    </w:tblStylePr>
    <w:tblStylePr w:type="lastCol">
      <w:rPr>
        <w:b/>
        <w:color w:val="254175" w:themeColor="accent5" w:themeShade="95"/>
      </w:rPr>
    </w:tblStylePr>
    <w:tblStylePr w:type="lastRow">
      <w:rPr>
        <w:b/>
        <w:color w:val="254175" w:themeColor="accent5" w:themeShade="95"/>
      </w:rPr>
    </w:tblStylePr>
  </w:style>
  <w:style w:type="table" w:styleId="1226">
    <w:name w:val="Grid Table 7 Colorful"/>
    <w:basedOn w:val="1157"/>
    <w:uiPriority w:val="99"/>
    <w:pPr>
      <w:spacing w:after="0" w:line="240" w:lineRule="auto"/>
    </w:pPr>
    <w:tblPr>
      <w:tblStyleRowBandSize w:val="1"/>
      <w:tblStyleColBandSize w:val="1"/>
      <w:tblBorders>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blStylePr w:type="band1Horz">
      <w:rPr>
        <w:rFonts w:ascii="Arial" w:hAnsi="Arial"/>
        <w:color w:val="7f7f7f" w:themeColor="text1" w:themeTint="80" w:themeShade="95"/>
        <w:sz w:val="22"/>
      </w:rPr>
      <w:tcPr>
        <w:shd w:val="clear" w:color="f2f2f2" w:themeColor="text1" w:themeTint="0D" w:fill="f2f2f2" w:themeFill="text1" w:themeFillTint="0D"/>
      </w:tcPr>
    </w:tblStylePr>
    <w:tblStylePr w:type="band1Vert">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tblStylePr w:type="firstCol">
      <w:rPr>
        <w:rFonts w:ascii="Arial" w:hAnsi="Arial"/>
        <w:i/>
        <w:color w:val="7f7f7f" w:themeColor="text1" w:themeTint="80" w:themeShade="95"/>
        <w:sz w:val="22"/>
      </w:rPr>
      <w:pPr>
        <w:jc w:val="right"/>
      </w:pPr>
      <w:tcPr>
        <w:shd w:val="clear" w:color="ffffff" w:fill="auto"/>
        <w:tcBorders>
          <w:top w:val="none" w:color="000000" w:sz="4" w:space="0"/>
          <w:left w:val="none" w:color="000000" w:sz="4" w:space="0"/>
          <w:bottom w:val="none" w:color="000000" w:sz="4" w:space="0"/>
          <w:right w:val="single" w:color="7F7F7F" w:themeColor="text1" w:themeTint="80" w:sz="4" w:space="0"/>
        </w:tcBorders>
      </w:tcPr>
    </w:tblStylePr>
    <w:tblStylePr w:type="firstRow">
      <w:rPr>
        <w:rFonts w:ascii="Arial" w:hAnsi="Arial"/>
        <w:b/>
        <w:color w:val="7f7f7f" w:themeColor="text1" w:themeTint="80" w:themeShade="95"/>
        <w:sz w:val="22"/>
      </w:rPr>
      <w:tcPr>
        <w:shd w:val="clear" w:color="ffffff" w:themeColor="light1" w:fill="ffffff" w:themeFill="light1"/>
        <w:tcBorders>
          <w:top w:val="none" w:color="000000" w:sz="4" w:space="0"/>
          <w:left w:val="none" w:color="000000" w:sz="4" w:space="0"/>
          <w:bottom w:val="single" w:color="7F7F7F" w:themeColor="text1" w:themeTint="80" w:sz="4" w:space="0"/>
          <w:right w:val="none" w:color="000000" w:sz="4" w:space="0"/>
        </w:tcBorders>
      </w:tcPr>
    </w:tblStylePr>
    <w:tblStylePr w:type="lastCol">
      <w:rPr>
        <w:rFonts w:ascii="Arial" w:hAnsi="Arial"/>
        <w:i/>
        <w:color w:val="7f7f7f" w:themeColor="text1" w:themeTint="80" w:themeShade="95"/>
        <w:sz w:val="22"/>
      </w:rPr>
      <w:tcPr>
        <w:shd w:val="clear" w:color="ffffff" w:fill="auto"/>
        <w:tcBorders>
          <w:top w:val="none" w:color="000000" w:sz="4" w:space="0"/>
          <w:left w:val="single" w:color="7F7F7F" w:themeColor="text1" w:themeTint="80" w:sz="4" w:space="0"/>
          <w:bottom w:val="none" w:color="000000" w:sz="4" w:space="0"/>
          <w:right w:val="none" w:color="000000" w:sz="4" w:space="0"/>
        </w:tcBorders>
      </w:tcPr>
    </w:tblStylePr>
    <w:tblStylePr w:type="lastRow">
      <w:rPr>
        <w:rFonts w:ascii="Arial" w:hAnsi="Arial"/>
        <w:b/>
        <w:color w:val="7f7f7f" w:themeColor="text1" w:themeTint="80" w:themeShade="95"/>
        <w:sz w:val="22"/>
      </w:rPr>
      <w:tcPr>
        <w:shd w:val="clear" w:color="ffffff" w:themeColor="light1" w:fill="ffffff" w:themeFill="light1"/>
        <w:tcBorders>
          <w:top w:val="single" w:color="7F7F7F" w:themeColor="text1" w:themeTint="80" w:sz="4" w:space="0"/>
          <w:left w:val="none" w:color="000000" w:sz="4" w:space="0"/>
          <w:bottom w:val="none" w:color="000000" w:sz="4" w:space="0"/>
          <w:right w:val="none" w:color="000000" w:sz="4" w:space="0"/>
        </w:tcBorders>
      </w:tcPr>
    </w:tblStylePr>
  </w:style>
  <w:style w:type="table" w:styleId="1227" w:customStyle="1">
    <w:name w:val="Grid Table 7 Colorful - Accent 1"/>
    <w:basedOn w:val="1157"/>
    <w:uiPriority w:val="99"/>
    <w:pPr>
      <w:spacing w:after="0" w:line="240" w:lineRule="auto"/>
    </w:pPr>
    <w:tblPr>
      <w:tblStyleRowBandSize w:val="1"/>
      <w:tblStyleColBandSize w:val="1"/>
      <w:tblBorders>
        <w:bottom w:val="single" w:color="ACCCEA" w:themeColor="accent1" w:themeTint="80" w:sz="4" w:space="0"/>
        <w:right w:val="single" w:color="ACCCEA" w:themeColor="accent1" w:themeTint="80" w:sz="4" w:space="0"/>
        <w:insideH w:val="single" w:color="ACCCEA" w:themeColor="accent1" w:themeTint="80" w:sz="4" w:space="0"/>
        <w:insideV w:val="single" w:color="ACCCEA" w:themeColor="accent1" w:themeTint="80" w:sz="4" w:space="0"/>
      </w:tblBorders>
    </w:tblPr>
    <w:tblStylePr w:type="band1Horz">
      <w:rPr>
        <w:rFonts w:ascii="Arial" w:hAnsi="Arial"/>
        <w:color w:val="acccea" w:themeColor="accent1" w:themeTint="80" w:themeShade="95"/>
        <w:sz w:val="22"/>
      </w:rPr>
      <w:tcPr>
        <w:shd w:val="clear" w:color="ddeaf6" w:themeColor="accent1" w:themeTint="34" w:fill="ddeaf6" w:themeFill="accent1" w:themeFillTint="34"/>
      </w:tcPr>
    </w:tblStylePr>
    <w:tblStylePr w:type="band1Vert">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tblStylePr w:type="firstCol">
      <w:rPr>
        <w:rFonts w:ascii="Arial" w:hAnsi="Arial"/>
        <w:i/>
        <w:color w:val="acccea" w:themeColor="accent1" w:themeTint="80" w:themeShade="95"/>
        <w:sz w:val="22"/>
      </w:rPr>
      <w:pPr>
        <w:jc w:val="right"/>
      </w:pPr>
      <w:tcPr>
        <w:shd w:val="clear" w:color="ffffff" w:fill="auto"/>
        <w:tcBorders>
          <w:top w:val="none" w:color="000000" w:sz="4" w:space="0"/>
          <w:left w:val="none" w:color="000000" w:sz="4" w:space="0"/>
          <w:bottom w:val="none" w:color="000000" w:sz="4" w:space="0"/>
          <w:right w:val="single" w:color="ACCCEA" w:themeColor="accent1" w:themeTint="80" w:sz="4" w:space="0"/>
        </w:tcBorders>
      </w:tcPr>
    </w:tblStylePr>
    <w:tblStylePr w:type="firstRow">
      <w:rPr>
        <w:rFonts w:ascii="Arial" w:hAnsi="Arial"/>
        <w:b/>
        <w:color w:val="acccea" w:themeColor="accent1" w:themeTint="80" w:themeShade="95"/>
        <w:sz w:val="22"/>
      </w:rPr>
      <w:tcPr>
        <w:shd w:val="clear" w:color="ffffff" w:themeColor="light1" w:fill="ffffff" w:themeFill="light1"/>
        <w:tcBorders>
          <w:top w:val="none" w:color="000000" w:sz="4" w:space="0"/>
          <w:left w:val="none" w:color="000000" w:sz="4" w:space="0"/>
          <w:bottom w:val="single" w:color="ACCCEA" w:themeColor="accent1" w:themeTint="80" w:sz="4" w:space="0"/>
          <w:right w:val="none" w:color="000000" w:sz="4" w:space="0"/>
        </w:tcBorders>
      </w:tcPr>
    </w:tblStylePr>
    <w:tblStylePr w:type="lastCol">
      <w:rPr>
        <w:rFonts w:ascii="Arial" w:hAnsi="Arial"/>
        <w:i/>
        <w:color w:val="acccea" w:themeColor="accent1" w:themeTint="80" w:themeShade="95"/>
        <w:sz w:val="22"/>
      </w:rPr>
      <w:tcPr>
        <w:shd w:val="clear" w:color="ffffff" w:fill="auto"/>
        <w:tcBorders>
          <w:top w:val="none" w:color="000000" w:sz="4" w:space="0"/>
          <w:left w:val="single" w:color="ACCCEA" w:themeColor="accent1" w:themeTint="80" w:sz="4" w:space="0"/>
          <w:bottom w:val="none" w:color="000000" w:sz="4" w:space="0"/>
          <w:right w:val="none" w:color="000000" w:sz="4" w:space="0"/>
        </w:tcBorders>
      </w:tcPr>
    </w:tblStylePr>
    <w:tblStylePr w:type="lastRow">
      <w:rPr>
        <w:rFonts w:ascii="Arial" w:hAnsi="Arial"/>
        <w:b/>
        <w:color w:val="acccea" w:themeColor="accent1" w:themeTint="80" w:themeShade="95"/>
        <w:sz w:val="22"/>
      </w:rPr>
      <w:tcPr>
        <w:shd w:val="clear" w:color="ffffff" w:themeColor="light1" w:fill="ffffff" w:themeFill="light1"/>
        <w:tcBorders>
          <w:top w:val="single" w:color="ACCCEA" w:themeColor="accent1" w:themeTint="80" w:sz="4" w:space="0"/>
          <w:left w:val="none" w:color="000000" w:sz="4" w:space="0"/>
          <w:bottom w:val="none" w:color="000000" w:sz="4" w:space="0"/>
          <w:right w:val="none" w:color="000000" w:sz="4" w:space="0"/>
        </w:tcBorders>
      </w:tcPr>
    </w:tblStylePr>
  </w:style>
  <w:style w:type="table" w:styleId="1228" w:customStyle="1">
    <w:name w:val="Grid Table 7 Colorful - Accent 2"/>
    <w:basedOn w:val="1157"/>
    <w:uiPriority w:val="99"/>
    <w:pPr>
      <w:spacing w:after="0" w:line="240" w:lineRule="auto"/>
    </w:pPr>
    <w:tblPr>
      <w:tblStyleRowBandSize w:val="1"/>
      <w:tblStyleColBandSize w:val="1"/>
      <w:tblBorders>
        <w:bottom w:val="single" w:color="F4B184" w:themeColor="accent2" w:themeTint="97" w:sz="4" w:space="0"/>
        <w:right w:val="single" w:color="F4B184" w:themeColor="accent2" w:themeTint="97" w:sz="4" w:space="0"/>
        <w:insideH w:val="single" w:color="F4B184" w:themeColor="accent2" w:themeTint="97" w:sz="4" w:space="0"/>
        <w:insideV w:val="single" w:color="F4B184" w:themeColor="accent2" w:themeTint="97" w:sz="4" w:space="0"/>
      </w:tblBorders>
    </w:tblPr>
    <w:tblStylePr w:type="band1Horz">
      <w:rPr>
        <w:rFonts w:ascii="Arial" w:hAnsi="Arial"/>
        <w:color w:val="f4b184" w:themeColor="accent2" w:themeTint="97" w:themeShade="95"/>
        <w:sz w:val="22"/>
      </w:rPr>
      <w:tcPr>
        <w:shd w:val="clear" w:color="fbe5d6" w:themeColor="accent2" w:themeTint="32" w:fill="fbe5d6" w:themeFill="accent2" w:themeFillTint="32"/>
      </w:tcPr>
    </w:tblStylePr>
    <w:tblStylePr w:type="band1Vert">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tblStylePr w:type="firstCol">
      <w:rPr>
        <w:rFonts w:ascii="Arial" w:hAnsi="Arial"/>
        <w:i/>
        <w:color w:val="f4b184" w:themeColor="accent2" w:themeTint="97" w:themeShade="95"/>
        <w:sz w:val="22"/>
      </w:rPr>
      <w:pPr>
        <w:jc w:val="right"/>
      </w:pPr>
      <w:tcPr>
        <w:shd w:val="clear" w:color="ffffff" w:fill="auto"/>
        <w:tcBorders>
          <w:top w:val="none" w:color="000000" w:sz="4" w:space="0"/>
          <w:left w:val="none" w:color="000000" w:sz="4" w:space="0"/>
          <w:bottom w:val="none" w:color="000000" w:sz="4" w:space="0"/>
          <w:right w:val="single" w:color="F4B184" w:themeColor="accent2" w:themeTint="97" w:sz="4" w:space="0"/>
        </w:tcBorders>
      </w:tcPr>
    </w:tblStylePr>
    <w:tblStylePr w:type="firstRow">
      <w:rPr>
        <w:rFonts w:ascii="Arial" w:hAnsi="Arial"/>
        <w:b/>
        <w:color w:val="f4b184" w:themeColor="accent2" w:themeTint="97" w:themeShade="95"/>
        <w:sz w:val="22"/>
      </w:rPr>
      <w:tcPr>
        <w:shd w:val="clear" w:color="ffffff" w:themeColor="light1" w:fill="ffffff" w:themeFill="light1"/>
        <w:tcBorders>
          <w:top w:val="none" w:color="000000" w:sz="4" w:space="0"/>
          <w:left w:val="none" w:color="000000" w:sz="4" w:space="0"/>
          <w:bottom w:val="single" w:color="F4B184" w:themeColor="accent2" w:themeTint="97" w:sz="4" w:space="0"/>
          <w:right w:val="none" w:color="000000" w:sz="4" w:space="0"/>
        </w:tcBorders>
      </w:tcPr>
    </w:tblStylePr>
    <w:tblStylePr w:type="lastCol">
      <w:rPr>
        <w:rFonts w:ascii="Arial" w:hAnsi="Arial"/>
        <w:i/>
        <w:color w:val="f4b184" w:themeColor="accent2" w:themeTint="97" w:themeShade="95"/>
        <w:sz w:val="22"/>
      </w:rPr>
      <w:tcPr>
        <w:shd w:val="clear" w:color="ffffff" w:fill="auto"/>
        <w:tcBorders>
          <w:top w:val="none" w:color="000000" w:sz="4" w:space="0"/>
          <w:left w:val="single" w:color="F4B184" w:themeColor="accent2" w:themeTint="97" w:sz="4" w:space="0"/>
          <w:bottom w:val="none" w:color="000000" w:sz="4" w:space="0"/>
          <w:right w:val="none" w:color="000000" w:sz="4" w:space="0"/>
        </w:tcBorders>
      </w:tcPr>
    </w:tblStylePr>
    <w:tblStylePr w:type="lastRow">
      <w:rPr>
        <w:rFonts w:ascii="Arial" w:hAnsi="Arial"/>
        <w:b/>
        <w:color w:val="f4b184" w:themeColor="accent2" w:themeTint="97" w:themeShade="95"/>
        <w:sz w:val="22"/>
      </w:rPr>
      <w:tcPr>
        <w:shd w:val="clear" w:color="ffffff" w:themeColor="light1" w:fill="ffffff" w:themeFill="light1"/>
        <w:tcBorders>
          <w:top w:val="single" w:color="F4B184" w:themeColor="accent2" w:themeTint="97" w:sz="4" w:space="0"/>
          <w:left w:val="none" w:color="000000" w:sz="4" w:space="0"/>
          <w:bottom w:val="none" w:color="000000" w:sz="4" w:space="0"/>
          <w:right w:val="none" w:color="000000" w:sz="4" w:space="0"/>
        </w:tcBorders>
      </w:tcPr>
    </w:tblStylePr>
  </w:style>
  <w:style w:type="table" w:styleId="1229" w:customStyle="1">
    <w:name w:val="Grid Table 7 Colorful - Accent 3"/>
    <w:basedOn w:val="1157"/>
    <w:uiPriority w:val="99"/>
    <w:pPr>
      <w:spacing w:after="0" w:line="240" w:lineRule="auto"/>
    </w:pPr>
    <w:tblPr>
      <w:tblStyleRowBandSize w:val="1"/>
      <w:tblStyleColBandSize w:val="1"/>
      <w:tblBorders>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Pr>
    <w:tblStylePr w:type="band1Horz">
      <w:rPr>
        <w:rFonts w:ascii="Arial" w:hAnsi="Arial"/>
        <w:color w:val="a5a5a5" w:themeColor="accent3" w:themeTint="FE" w:themeShade="95"/>
        <w:sz w:val="22"/>
      </w:rPr>
      <w:tcPr>
        <w:shd w:val="clear" w:color="ececec" w:themeColor="accent3" w:themeTint="34" w:fill="ececec" w:themeFill="accent3" w:themeFillTint="34"/>
      </w:tcPr>
    </w:tblStylePr>
    <w:tblStylePr w:type="band1Vert">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tblStylePr w:type="firstCol">
      <w:rPr>
        <w:rFonts w:ascii="Arial" w:hAnsi="Arial"/>
        <w:i/>
        <w:color w:val="a5a5a5" w:themeColor="accent3" w:themeTint="FE" w:themeShade="95"/>
        <w:sz w:val="22"/>
      </w:rPr>
      <w:pPr>
        <w:jc w:val="right"/>
      </w:pPr>
      <w:tcPr>
        <w:shd w:val="clear" w:color="ffffff" w:fill="auto"/>
        <w:tcBorders>
          <w:top w:val="none" w:color="000000" w:sz="4" w:space="0"/>
          <w:left w:val="none" w:color="000000" w:sz="4" w:space="0"/>
          <w:bottom w:val="none" w:color="000000" w:sz="4" w:space="0"/>
          <w:right w:val="single" w:color="A5A5A5" w:themeColor="accent3" w:themeTint="FE" w:sz="4" w:space="0"/>
        </w:tcBorders>
      </w:tcPr>
    </w:tblStylePr>
    <w:tblStylePr w:type="firstRow">
      <w:rPr>
        <w:rFonts w:ascii="Arial" w:hAnsi="Arial"/>
        <w:b/>
        <w:color w:val="a5a5a5" w:themeColor="accent3" w:themeTint="FE" w:themeShade="95"/>
        <w:sz w:val="22"/>
      </w:rPr>
      <w:tcPr>
        <w:shd w:val="clear" w:color="ffffff" w:themeColor="light1" w:fill="ffffff" w:themeFill="light1"/>
        <w:tcBorders>
          <w:top w:val="none" w:color="000000" w:sz="4" w:space="0"/>
          <w:left w:val="none" w:color="000000" w:sz="4" w:space="0"/>
          <w:bottom w:val="single" w:color="A5A5A5" w:themeColor="accent3" w:themeTint="FE" w:sz="4" w:space="0"/>
          <w:right w:val="none" w:color="000000" w:sz="4" w:space="0"/>
        </w:tcBorders>
      </w:tcPr>
    </w:tblStylePr>
    <w:tblStylePr w:type="lastCol">
      <w:rPr>
        <w:rFonts w:ascii="Arial" w:hAnsi="Arial"/>
        <w:i/>
        <w:color w:val="a5a5a5" w:themeColor="accent3" w:themeTint="FE" w:themeShade="95"/>
        <w:sz w:val="22"/>
      </w:rPr>
      <w:tcPr>
        <w:shd w:val="clear" w:color="ffffff" w:fill="auto"/>
        <w:tcBorders>
          <w:top w:val="none" w:color="000000" w:sz="4" w:space="0"/>
          <w:left w:val="single" w:color="A5A5A5" w:themeColor="accent3" w:themeTint="FE" w:sz="4" w:space="0"/>
          <w:bottom w:val="none" w:color="000000" w:sz="4" w:space="0"/>
          <w:right w:val="none" w:color="000000" w:sz="4" w:space="0"/>
        </w:tcBorders>
      </w:tcPr>
    </w:tblStylePr>
    <w:tblStylePr w:type="lastRow">
      <w:rPr>
        <w:rFonts w:ascii="Arial" w:hAnsi="Arial"/>
        <w:b/>
        <w:color w:val="a5a5a5" w:themeColor="accent3" w:themeTint="FE" w:themeShade="95"/>
        <w:sz w:val="22"/>
      </w:rPr>
      <w:tcPr>
        <w:shd w:val="clear" w:color="ffffff" w:themeColor="light1" w:fill="ffffff" w:themeFill="light1"/>
        <w:tcBorders>
          <w:top w:val="single" w:color="A5A5A5" w:themeColor="accent3" w:themeTint="FE" w:sz="4" w:space="0"/>
          <w:left w:val="none" w:color="000000" w:sz="4" w:space="0"/>
          <w:bottom w:val="none" w:color="000000" w:sz="4" w:space="0"/>
          <w:right w:val="none" w:color="000000" w:sz="4" w:space="0"/>
        </w:tcBorders>
      </w:tcPr>
    </w:tblStylePr>
  </w:style>
  <w:style w:type="table" w:styleId="1230" w:customStyle="1">
    <w:name w:val="Grid Table 7 Colorful - Accent 4"/>
    <w:basedOn w:val="1157"/>
    <w:uiPriority w:val="99"/>
    <w:pPr>
      <w:spacing w:after="0" w:line="240" w:lineRule="auto"/>
    </w:pPr>
    <w:tblPr>
      <w:tblStyleRowBandSize w:val="1"/>
      <w:tblStyleColBandSize w:val="1"/>
      <w:tblBorders>
        <w:bottom w:val="single" w:color="FFD865" w:themeColor="accent4" w:themeTint="9A" w:sz="4" w:space="0"/>
        <w:right w:val="single" w:color="FFD865" w:themeColor="accent4" w:themeTint="9A" w:sz="4" w:space="0"/>
        <w:insideH w:val="single" w:color="FFD865" w:themeColor="accent4" w:themeTint="9A" w:sz="4" w:space="0"/>
        <w:insideV w:val="single" w:color="FFD865" w:themeColor="accent4" w:themeTint="9A" w:sz="4" w:space="0"/>
      </w:tblBorders>
    </w:tblPr>
    <w:tblStylePr w:type="band1Horz">
      <w:rPr>
        <w:rFonts w:ascii="Arial" w:hAnsi="Arial"/>
        <w:color w:val="ffd865" w:themeColor="accent4" w:themeTint="9A" w:themeShade="95"/>
        <w:sz w:val="22"/>
      </w:rPr>
      <w:tcPr>
        <w:shd w:val="clear" w:color="fff2cb" w:themeColor="accent4" w:themeTint="34" w:fill="fff2cb" w:themeFill="accent4" w:themeFillTint="34"/>
      </w:tcPr>
    </w:tblStylePr>
    <w:tblStylePr w:type="band1Vert">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tblStylePr w:type="firstCol">
      <w:rPr>
        <w:rFonts w:ascii="Arial" w:hAnsi="Arial"/>
        <w:i/>
        <w:color w:val="ffd865" w:themeColor="accent4" w:themeTint="9A" w:themeShade="95"/>
        <w:sz w:val="22"/>
      </w:rPr>
      <w:pPr>
        <w:jc w:val="right"/>
      </w:pPr>
      <w:tcPr>
        <w:shd w:val="clear" w:color="ffffff" w:fill="auto"/>
        <w:tcBorders>
          <w:top w:val="none" w:color="000000" w:sz="4" w:space="0"/>
          <w:left w:val="none" w:color="000000" w:sz="4" w:space="0"/>
          <w:bottom w:val="none" w:color="000000" w:sz="4" w:space="0"/>
          <w:right w:val="single" w:color="FFD865" w:themeColor="accent4" w:themeTint="9A" w:sz="4" w:space="0"/>
        </w:tcBorders>
      </w:tcPr>
    </w:tblStylePr>
    <w:tblStylePr w:type="firstRow">
      <w:rPr>
        <w:rFonts w:ascii="Arial" w:hAnsi="Arial"/>
        <w:b/>
        <w:color w:val="ffd865" w:themeColor="accent4" w:themeTint="9A" w:themeShade="95"/>
        <w:sz w:val="22"/>
      </w:rPr>
      <w:tcPr>
        <w:shd w:val="clear" w:color="ffffff" w:themeColor="light1" w:fill="ffffff" w:themeFill="light1"/>
        <w:tcBorders>
          <w:top w:val="none" w:color="000000" w:sz="4" w:space="0"/>
          <w:left w:val="none" w:color="000000" w:sz="4" w:space="0"/>
          <w:bottom w:val="single" w:color="FFD865" w:themeColor="accent4" w:themeTint="9A" w:sz="4" w:space="0"/>
          <w:right w:val="none" w:color="000000" w:sz="4" w:space="0"/>
        </w:tcBorders>
      </w:tcPr>
    </w:tblStylePr>
    <w:tblStylePr w:type="lastCol">
      <w:rPr>
        <w:rFonts w:ascii="Arial" w:hAnsi="Arial"/>
        <w:i/>
        <w:color w:val="ffd865" w:themeColor="accent4" w:themeTint="9A" w:themeShade="95"/>
        <w:sz w:val="22"/>
      </w:rPr>
      <w:tcPr>
        <w:shd w:val="clear" w:color="ffffff" w:fill="auto"/>
        <w:tcBorders>
          <w:top w:val="none" w:color="000000" w:sz="4" w:space="0"/>
          <w:left w:val="single" w:color="FFD865" w:themeColor="accent4" w:themeTint="9A" w:sz="4" w:space="0"/>
          <w:bottom w:val="none" w:color="000000" w:sz="4" w:space="0"/>
          <w:right w:val="none" w:color="000000" w:sz="4" w:space="0"/>
        </w:tcBorders>
      </w:tcPr>
    </w:tblStylePr>
    <w:tblStylePr w:type="lastRow">
      <w:rPr>
        <w:rFonts w:ascii="Arial" w:hAnsi="Arial"/>
        <w:b/>
        <w:color w:val="ffd865" w:themeColor="accent4" w:themeTint="9A" w:themeShade="95"/>
        <w:sz w:val="22"/>
      </w:rPr>
      <w:tcPr>
        <w:shd w:val="clear" w:color="ffffff" w:themeColor="light1" w:fill="ffffff" w:themeFill="light1"/>
        <w:tcBorders>
          <w:top w:val="single" w:color="FFD865" w:themeColor="accent4" w:themeTint="9A" w:sz="4" w:space="0"/>
          <w:left w:val="none" w:color="000000" w:sz="4" w:space="0"/>
          <w:bottom w:val="none" w:color="000000" w:sz="4" w:space="0"/>
          <w:right w:val="none" w:color="000000" w:sz="4" w:space="0"/>
        </w:tcBorders>
      </w:tcPr>
    </w:tblStylePr>
  </w:style>
  <w:style w:type="table" w:styleId="1231" w:customStyle="1">
    <w:name w:val="Grid Table 7 Colorful - Accent 5"/>
    <w:basedOn w:val="1157"/>
    <w:uiPriority w:val="99"/>
    <w:pPr>
      <w:spacing w:after="0" w:line="240" w:lineRule="auto"/>
    </w:pPr>
    <w:tblPr>
      <w:tblStyleRowBandSize w:val="1"/>
      <w:tblStyleColBandSize w:val="1"/>
      <w:tblBorders>
        <w:bottom w:val="single" w:color="95AFDD" w:themeColor="accent5" w:themeTint="90" w:sz="4" w:space="0"/>
        <w:right w:val="single" w:color="95AFDD" w:themeColor="accent5" w:themeTint="90" w:sz="4" w:space="0"/>
        <w:insideH w:val="single" w:color="95AFDD" w:themeColor="accent5" w:themeTint="90" w:sz="4" w:space="0"/>
        <w:insideV w:val="single" w:color="95AFDD" w:themeColor="accent5" w:themeTint="90" w:sz="4" w:space="0"/>
      </w:tblBorders>
    </w:tblPr>
    <w:tblStylePr w:type="band1Horz">
      <w:rPr>
        <w:rFonts w:ascii="Arial" w:hAnsi="Arial"/>
        <w:color w:val="254175" w:themeColor="accent5" w:themeShade="95"/>
        <w:sz w:val="22"/>
      </w:rPr>
      <w:tcPr>
        <w:shd w:val="clear" w:color="d8e2f3" w:themeColor="accent5" w:themeTint="34" w:fill="d8e2f3" w:themeFill="accent5" w:themeFillTint="34"/>
      </w:tcPr>
    </w:tblStylePr>
    <w:tblStylePr w:type="band1Vert">
      <w:tcPr>
        <w:shd w:val="clear" w:color="d8e2f3" w:themeColor="accent5" w:themeTint="34" w:fill="d8e2f3" w:themeFill="accent5" w:themeFillTint="34"/>
      </w:tcPr>
    </w:tblStylePr>
    <w:tblStylePr w:type="band2Horz">
      <w:rPr>
        <w:rFonts w:ascii="Arial" w:hAnsi="Arial"/>
        <w:color w:val="254175" w:themeColor="accent5" w:themeShade="95"/>
        <w:sz w:val="22"/>
      </w:rPr>
    </w:tblStylePr>
    <w:tblStylePr w:type="firstCol">
      <w:rPr>
        <w:rFonts w:ascii="Arial" w:hAnsi="Arial"/>
        <w:i/>
        <w:color w:val="254175" w:themeColor="accent5" w:themeShade="95"/>
        <w:sz w:val="22"/>
      </w:rPr>
      <w:pPr>
        <w:jc w:val="right"/>
      </w:pPr>
      <w:tcPr>
        <w:shd w:val="clear" w:color="ffffff" w:fill="auto"/>
        <w:tcBorders>
          <w:top w:val="none" w:color="000000" w:sz="4" w:space="0"/>
          <w:left w:val="none" w:color="000000" w:sz="4" w:space="0"/>
          <w:bottom w:val="none" w:color="000000" w:sz="4" w:space="0"/>
          <w:right w:val="single" w:color="95AFDD" w:themeColor="accent5" w:themeTint="90" w:sz="4" w:space="0"/>
        </w:tcBorders>
      </w:tcPr>
    </w:tblStylePr>
    <w:tblStylePr w:type="firstRow">
      <w:rPr>
        <w:rFonts w:ascii="Arial" w:hAnsi="Arial"/>
        <w:b/>
        <w:color w:val="254175" w:themeColor="accent5" w:themeShade="95"/>
        <w:sz w:val="22"/>
      </w:rPr>
      <w:tcPr>
        <w:shd w:val="clear" w:color="ffffff" w:themeColor="light1" w:fill="ffffff" w:themeFill="light1"/>
        <w:tcBorders>
          <w:top w:val="none" w:color="000000" w:sz="4" w:space="0"/>
          <w:left w:val="none" w:color="000000" w:sz="4" w:space="0"/>
          <w:bottom w:val="single" w:color="95AFDD" w:themeColor="accent5" w:themeTint="90" w:sz="4" w:space="0"/>
          <w:right w:val="none" w:color="000000" w:sz="4" w:space="0"/>
        </w:tcBorders>
      </w:tcPr>
    </w:tblStylePr>
    <w:tblStylePr w:type="lastCol">
      <w:rPr>
        <w:rFonts w:ascii="Arial" w:hAnsi="Arial"/>
        <w:i/>
        <w:color w:val="254175" w:themeColor="accent5" w:themeShade="95"/>
        <w:sz w:val="22"/>
      </w:rPr>
      <w:tcPr>
        <w:shd w:val="clear" w:color="ffffff" w:fill="auto"/>
        <w:tcBorders>
          <w:top w:val="none" w:color="000000" w:sz="4" w:space="0"/>
          <w:left w:val="single" w:color="95AFDD" w:themeColor="accent5" w:themeTint="90" w:sz="4" w:space="0"/>
          <w:bottom w:val="none" w:color="000000" w:sz="4" w:space="0"/>
          <w:right w:val="none" w:color="000000" w:sz="4" w:space="0"/>
        </w:tcBorders>
      </w:tcPr>
    </w:tblStylePr>
    <w:tblStylePr w:type="lastRow">
      <w:rPr>
        <w:rFonts w:ascii="Arial" w:hAnsi="Arial"/>
        <w:b/>
        <w:color w:val="254175" w:themeColor="accent5" w:themeShade="95"/>
        <w:sz w:val="22"/>
      </w:rPr>
      <w:tcPr>
        <w:shd w:val="clear" w:color="ffffff" w:themeColor="light1" w:fill="ffffff" w:themeFill="light1"/>
        <w:tcBorders>
          <w:top w:val="single" w:color="95AFDD" w:themeColor="accent5" w:themeTint="90" w:sz="4" w:space="0"/>
          <w:left w:val="none" w:color="000000" w:sz="4" w:space="0"/>
          <w:bottom w:val="none" w:color="000000" w:sz="4" w:space="0"/>
          <w:right w:val="none" w:color="000000" w:sz="4" w:space="0"/>
        </w:tcBorders>
      </w:tcPr>
    </w:tblStylePr>
  </w:style>
  <w:style w:type="table" w:styleId="1232" w:customStyle="1">
    <w:name w:val="Grid Table 7 Colorful - Accent 6"/>
    <w:basedOn w:val="1157"/>
    <w:uiPriority w:val="99"/>
    <w:pPr>
      <w:spacing w:after="0" w:line="240" w:lineRule="auto"/>
    </w:pPr>
    <w:tblPr>
      <w:tblStyleRowBandSize w:val="1"/>
      <w:tblStyleColBandSize w:val="1"/>
      <w:tblBorders>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Pr>
    <w:tblStylePr w:type="band1Horz">
      <w:rPr>
        <w:rFonts w:ascii="Arial" w:hAnsi="Arial"/>
        <w:color w:val="416429" w:themeColor="accent6" w:themeShade="95"/>
        <w:sz w:val="22"/>
      </w:rPr>
      <w:tcPr>
        <w:shd w:val="clear" w:color="e1efd8" w:themeColor="accent6" w:themeTint="34" w:fill="e1efd8" w:themeFill="accent6" w:themeFillTint="34"/>
      </w:tcPr>
    </w:tblStylePr>
    <w:tblStylePr w:type="band1Vert">
      <w:tcPr>
        <w:shd w:val="clear" w:color="e1efd8" w:themeColor="accent6" w:themeTint="34" w:fill="e1efd8" w:themeFill="accent6" w:themeFillTint="34"/>
      </w:tcPr>
    </w:tblStylePr>
    <w:tblStylePr w:type="band2Horz">
      <w:rPr>
        <w:rFonts w:ascii="Arial" w:hAnsi="Arial"/>
        <w:color w:val="416429" w:themeColor="accent6" w:themeShade="95"/>
        <w:sz w:val="22"/>
      </w:rPr>
    </w:tblStylePr>
    <w:tblStylePr w:type="firstCol">
      <w:rPr>
        <w:rFonts w:ascii="Arial" w:hAnsi="Arial"/>
        <w:i/>
        <w:color w:val="416429" w:themeColor="accent6" w:themeShade="95"/>
        <w:sz w:val="22"/>
      </w:rPr>
      <w:pPr>
        <w:jc w:val="right"/>
      </w:pPr>
      <w:tcPr>
        <w:shd w:val="clear" w:color="ffffff" w:fill="auto"/>
        <w:tcBorders>
          <w:top w:val="none" w:color="000000" w:sz="4" w:space="0"/>
          <w:left w:val="none" w:color="000000" w:sz="4" w:space="0"/>
          <w:bottom w:val="none" w:color="000000" w:sz="4" w:space="0"/>
          <w:right w:val="single" w:color="ADD394" w:themeColor="accent6" w:themeTint="90" w:sz="4" w:space="0"/>
        </w:tcBorders>
      </w:tcPr>
    </w:tblStylePr>
    <w:tblStylePr w:type="firstRow">
      <w:rPr>
        <w:rFonts w:ascii="Arial" w:hAnsi="Arial"/>
        <w:b/>
        <w:color w:val="416429" w:themeColor="accent6" w:themeShade="95"/>
        <w:sz w:val="22"/>
      </w:rPr>
      <w:tcPr>
        <w:shd w:val="clear" w:color="ffffff" w:themeColor="light1" w:fill="ffffff" w:themeFill="light1"/>
        <w:tcBorders>
          <w:top w:val="none" w:color="000000" w:sz="4" w:space="0"/>
          <w:left w:val="none" w:color="000000" w:sz="4" w:space="0"/>
          <w:bottom w:val="single" w:color="ADD394" w:themeColor="accent6" w:themeTint="90" w:sz="4" w:space="0"/>
          <w:right w:val="none" w:color="000000" w:sz="4" w:space="0"/>
        </w:tcBorders>
      </w:tcPr>
    </w:tblStylePr>
    <w:tblStylePr w:type="lastCol">
      <w:rPr>
        <w:rFonts w:ascii="Arial" w:hAnsi="Arial"/>
        <w:i/>
        <w:color w:val="416429" w:themeColor="accent6" w:themeShade="95"/>
        <w:sz w:val="22"/>
      </w:rPr>
      <w:tcPr>
        <w:shd w:val="clear" w:color="ffffff" w:fill="auto"/>
        <w:tcBorders>
          <w:top w:val="none" w:color="000000" w:sz="4" w:space="0"/>
          <w:left w:val="single" w:color="ADD394" w:themeColor="accent6" w:themeTint="90" w:sz="4" w:space="0"/>
          <w:bottom w:val="none" w:color="000000" w:sz="4" w:space="0"/>
          <w:right w:val="none" w:color="000000" w:sz="4" w:space="0"/>
        </w:tcBorders>
      </w:tcPr>
    </w:tblStylePr>
    <w:tblStylePr w:type="lastRow">
      <w:rPr>
        <w:rFonts w:ascii="Arial" w:hAnsi="Arial"/>
        <w:b/>
        <w:color w:val="416429" w:themeColor="accent6" w:themeShade="95"/>
        <w:sz w:val="22"/>
      </w:rPr>
      <w:tcPr>
        <w:shd w:val="clear" w:color="ffffff" w:themeColor="light1" w:fill="ffffff" w:themeFill="light1"/>
        <w:tcBorders>
          <w:top w:val="single" w:color="ADD394" w:themeColor="accent6" w:themeTint="90" w:sz="4" w:space="0"/>
          <w:left w:val="none" w:color="000000" w:sz="4" w:space="0"/>
          <w:bottom w:val="none" w:color="000000" w:sz="4" w:space="0"/>
          <w:right w:val="none" w:color="000000" w:sz="4" w:space="0"/>
        </w:tcBorders>
      </w:tcPr>
    </w:tblStylePr>
  </w:style>
  <w:style w:type="table" w:styleId="1233">
    <w:name w:val="List Table 1 Light"/>
    <w:basedOn w:val="1157"/>
    <w:uiPriority w:val="99"/>
    <w:pPr>
      <w:spacing w:after="0" w:line="240" w:lineRule="auto"/>
    </w:pPr>
    <w:tblPr>
      <w:tblStyleRowBandSize w:val="1"/>
      <w:tblStyleColBandSize w:val="1"/>
    </w:tblPr>
    <w:tblStylePr w:type="band1Horz">
      <w:tcPr>
        <w:shd w:val="clear" w:color="bfbfbf" w:themeColor="text1" w:themeTint="40" w:fill="bfbfbf" w:themeFill="text1" w:themeFillTint="40"/>
      </w:tcPr>
    </w:tblStylePr>
    <w:tblStylePr w:type="band1Vert">
      <w:tcPr>
        <w:shd w:val="clear" w:color="bfbfbf" w:themeColor="text1" w:themeTint="40" w:fill="bfbfbf" w:themeFill="tex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tblStylePr>
    <w:tblStylePr w:type="lastRow">
      <w:rPr>
        <w:b/>
        <w:color w:val="404040"/>
      </w:rPr>
      <w:tcPr>
        <w:tcBorders>
          <w:top w:val="single" w:color="000000" w:themeColor="text1" w:sz="4" w:space="0"/>
          <w:left w:val="none" w:color="000000" w:sz="4" w:space="0"/>
          <w:bottom w:val="none" w:color="000000" w:sz="4" w:space="0"/>
          <w:right w:val="none" w:color="000000" w:sz="4" w:space="0"/>
        </w:tcBorders>
      </w:tcPr>
    </w:tblStylePr>
  </w:style>
  <w:style w:type="table" w:styleId="1234" w:customStyle="1">
    <w:name w:val="List Table 1 Light - Accent 1"/>
    <w:basedOn w:val="1157"/>
    <w:uiPriority w:val="99"/>
    <w:pPr>
      <w:spacing w:after="0" w:line="240" w:lineRule="auto"/>
    </w:pPr>
    <w:tblPr>
      <w:tblStyleRowBandSize w:val="1"/>
      <w:tblStyleColBandSize w:val="1"/>
    </w:tblPr>
    <w:tblStylePr w:type="band1Horz">
      <w:tcPr>
        <w:shd w:val="clear" w:color="d5e5f4" w:themeColor="accent1" w:themeTint="40" w:fill="d5e5f4" w:themeFill="accent1" w:themeFillTint="40"/>
      </w:tcPr>
    </w:tblStylePr>
    <w:tblStylePr w:type="band1Vert">
      <w:tcPr>
        <w:shd w:val="clear" w:color="d5e5f4" w:themeColor="accent1" w:themeTint="40" w:fill="d5e5f4" w:themeFill="accen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5B9BD5" w:themeColor="accent1" w:sz="4" w:space="0"/>
          <w:right w:val="none" w:color="000000" w:sz="4" w:space="0"/>
        </w:tcBorders>
      </w:tcPr>
    </w:tblStylePr>
    <w:tblStylePr w:type="lastCol">
      <w:rPr>
        <w:b/>
        <w:color w:val="404040"/>
      </w:rPr>
    </w:tblStylePr>
    <w:tblStylePr w:type="lastRow">
      <w:rPr>
        <w:b/>
        <w:color w:val="404040"/>
      </w:rPr>
      <w:tcPr>
        <w:tcBorders>
          <w:top w:val="single" w:color="5B9BD5" w:themeColor="accent1" w:sz="4" w:space="0"/>
          <w:left w:val="none" w:color="000000" w:sz="4" w:space="0"/>
          <w:bottom w:val="none" w:color="000000" w:sz="4" w:space="0"/>
          <w:right w:val="none" w:color="000000" w:sz="4" w:space="0"/>
        </w:tcBorders>
      </w:tcPr>
    </w:tblStylePr>
  </w:style>
  <w:style w:type="table" w:styleId="1235" w:customStyle="1">
    <w:name w:val="List Table 1 Light - Accent 2"/>
    <w:basedOn w:val="1157"/>
    <w:uiPriority w:val="99"/>
    <w:pPr>
      <w:spacing w:after="0" w:line="240" w:lineRule="auto"/>
    </w:pPr>
    <w:tblPr>
      <w:tblStyleRowBandSize w:val="1"/>
      <w:tblStyleColBandSize w:val="1"/>
    </w:tblPr>
    <w:tblStylePr w:type="band1Horz">
      <w:tcPr>
        <w:shd w:val="clear" w:color="fadecb" w:themeColor="accent2" w:themeTint="40" w:fill="fadecb" w:themeFill="accent2" w:themeFillTint="40"/>
      </w:tcPr>
    </w:tblStylePr>
    <w:tblStylePr w:type="band1Vert">
      <w:tcPr>
        <w:shd w:val="clear" w:color="fadecb" w:themeColor="accent2" w:themeTint="40" w:fill="fadecb" w:themeFill="accent2"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ED7D31" w:themeColor="accent2" w:sz="4" w:space="0"/>
          <w:right w:val="none" w:color="000000" w:sz="4" w:space="0"/>
        </w:tcBorders>
      </w:tcPr>
    </w:tblStylePr>
    <w:tblStylePr w:type="lastCol">
      <w:rPr>
        <w:b/>
        <w:color w:val="404040"/>
      </w:rPr>
    </w:tblStylePr>
    <w:tblStylePr w:type="lastRow">
      <w:rPr>
        <w:b/>
        <w:color w:val="404040"/>
      </w:rPr>
      <w:tcPr>
        <w:tcBorders>
          <w:top w:val="single" w:color="ED7D31" w:themeColor="accent2" w:sz="4" w:space="0"/>
          <w:left w:val="none" w:color="000000" w:sz="4" w:space="0"/>
          <w:bottom w:val="none" w:color="000000" w:sz="4" w:space="0"/>
          <w:right w:val="none" w:color="000000" w:sz="4" w:space="0"/>
        </w:tcBorders>
      </w:tcPr>
    </w:tblStylePr>
  </w:style>
  <w:style w:type="table" w:styleId="1236" w:customStyle="1">
    <w:name w:val="List Table 1 Light - Accent 3"/>
    <w:basedOn w:val="1157"/>
    <w:uiPriority w:val="99"/>
    <w:pPr>
      <w:spacing w:after="0" w:line="240" w:lineRule="auto"/>
    </w:pPr>
    <w:tblPr>
      <w:tblStyleRowBandSize w:val="1"/>
      <w:tblStyleColBandSize w:val="1"/>
    </w:tblPr>
    <w:tblStylePr w:type="band1Horz">
      <w:tcPr>
        <w:shd w:val="clear" w:color="e8e8e8" w:themeColor="accent3" w:themeTint="40" w:fill="e8e8e8" w:themeFill="accent3" w:themeFillTint="40"/>
      </w:tcPr>
    </w:tblStylePr>
    <w:tblStylePr w:type="band1Vert">
      <w:tcPr>
        <w:shd w:val="clear" w:color="e8e8e8" w:themeColor="accent3" w:themeTint="40" w:fill="e8e8e8" w:themeFill="accent3"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A5A5A5" w:themeColor="accent3" w:sz="4" w:space="0"/>
          <w:right w:val="none" w:color="000000" w:sz="4" w:space="0"/>
        </w:tcBorders>
      </w:tcPr>
    </w:tblStylePr>
    <w:tblStylePr w:type="lastCol">
      <w:rPr>
        <w:b/>
        <w:color w:val="404040"/>
      </w:rPr>
    </w:tblStylePr>
    <w:tblStylePr w:type="lastRow">
      <w:rPr>
        <w:b/>
        <w:color w:val="404040"/>
      </w:rPr>
      <w:tcPr>
        <w:tcBorders>
          <w:top w:val="single" w:color="A5A5A5" w:themeColor="accent3" w:sz="4" w:space="0"/>
          <w:left w:val="none" w:color="000000" w:sz="4" w:space="0"/>
          <w:bottom w:val="none" w:color="000000" w:sz="4" w:space="0"/>
          <w:right w:val="none" w:color="000000" w:sz="4" w:space="0"/>
        </w:tcBorders>
      </w:tcPr>
    </w:tblStylePr>
  </w:style>
  <w:style w:type="table" w:styleId="1237" w:customStyle="1">
    <w:name w:val="List Table 1 Light - Accent 4"/>
    <w:basedOn w:val="1157"/>
    <w:uiPriority w:val="99"/>
    <w:pPr>
      <w:spacing w:after="0" w:line="240" w:lineRule="auto"/>
    </w:pPr>
    <w:tblPr>
      <w:tblStyleRowBandSize w:val="1"/>
      <w:tblStyleColBandSize w:val="1"/>
    </w:tblPr>
    <w:tblStylePr w:type="band1Horz">
      <w:tcPr>
        <w:shd w:val="clear" w:color="ffefbf" w:themeColor="accent4" w:themeTint="40" w:fill="ffefbf" w:themeFill="accent4" w:themeFillTint="40"/>
      </w:tcPr>
    </w:tblStylePr>
    <w:tblStylePr w:type="band1Vert">
      <w:tcPr>
        <w:shd w:val="clear" w:color="ffefbf" w:themeColor="accent4" w:themeTint="40" w:fill="ffefbf" w:themeFill="accent4"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FFC000" w:themeColor="accent4" w:sz="4" w:space="0"/>
          <w:right w:val="none" w:color="000000" w:sz="4" w:space="0"/>
        </w:tcBorders>
      </w:tcPr>
    </w:tblStylePr>
    <w:tblStylePr w:type="lastCol">
      <w:rPr>
        <w:b/>
        <w:color w:val="404040"/>
      </w:rPr>
    </w:tblStylePr>
    <w:tblStylePr w:type="lastRow">
      <w:rPr>
        <w:b/>
        <w:color w:val="404040"/>
      </w:rPr>
      <w:tcPr>
        <w:tcBorders>
          <w:top w:val="single" w:color="FFC000" w:themeColor="accent4" w:sz="4" w:space="0"/>
          <w:left w:val="none" w:color="000000" w:sz="4" w:space="0"/>
          <w:bottom w:val="none" w:color="000000" w:sz="4" w:space="0"/>
          <w:right w:val="none" w:color="000000" w:sz="4" w:space="0"/>
        </w:tcBorders>
      </w:tcPr>
    </w:tblStylePr>
  </w:style>
  <w:style w:type="table" w:styleId="1238" w:customStyle="1">
    <w:name w:val="List Table 1 Light - Accent 5"/>
    <w:basedOn w:val="1157"/>
    <w:uiPriority w:val="99"/>
    <w:pPr>
      <w:spacing w:after="0" w:line="240" w:lineRule="auto"/>
    </w:pPr>
    <w:tblPr>
      <w:tblStyleRowBandSize w:val="1"/>
      <w:tblStyleColBandSize w:val="1"/>
    </w:tblPr>
    <w:tblStylePr w:type="band1Horz">
      <w:tcPr>
        <w:shd w:val="clear" w:color="cfdbf0" w:themeColor="accent5" w:themeTint="40" w:fill="cfdbf0" w:themeFill="accent5" w:themeFillTint="40"/>
      </w:tcPr>
    </w:tblStylePr>
    <w:tblStylePr w:type="band1Vert">
      <w:tcPr>
        <w:shd w:val="clear" w:color="cfdbf0" w:themeColor="accent5" w:themeTint="40" w:fill="cfdbf0" w:themeFill="accent5"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4472C4" w:themeColor="accent5" w:sz="4" w:space="0"/>
          <w:right w:val="none" w:color="000000" w:sz="4" w:space="0"/>
        </w:tcBorders>
      </w:tcPr>
    </w:tblStylePr>
    <w:tblStylePr w:type="lastCol">
      <w:rPr>
        <w:b/>
        <w:color w:val="404040"/>
      </w:rPr>
    </w:tblStylePr>
    <w:tblStylePr w:type="lastRow">
      <w:rPr>
        <w:b/>
        <w:color w:val="404040"/>
      </w:rPr>
      <w:tcPr>
        <w:tcBorders>
          <w:top w:val="single" w:color="4472C4" w:themeColor="accent5" w:sz="4" w:space="0"/>
          <w:left w:val="none" w:color="000000" w:sz="4" w:space="0"/>
          <w:bottom w:val="none" w:color="000000" w:sz="4" w:space="0"/>
          <w:right w:val="none" w:color="000000" w:sz="4" w:space="0"/>
        </w:tcBorders>
      </w:tcPr>
    </w:tblStylePr>
  </w:style>
  <w:style w:type="table" w:styleId="1239" w:customStyle="1">
    <w:name w:val="List Table 1 Light - Accent 6"/>
    <w:basedOn w:val="1157"/>
    <w:uiPriority w:val="99"/>
    <w:pPr>
      <w:spacing w:after="0" w:line="240" w:lineRule="auto"/>
    </w:pPr>
    <w:tblPr>
      <w:tblStyleRowBandSize w:val="1"/>
      <w:tblStyleColBandSize w:val="1"/>
    </w:tblPr>
    <w:tblStylePr w:type="band1Horz">
      <w:tcPr>
        <w:shd w:val="clear" w:color="daebcf" w:themeColor="accent6" w:themeTint="40" w:fill="daebcf" w:themeFill="accent6" w:themeFillTint="40"/>
      </w:tcPr>
    </w:tblStylePr>
    <w:tblStylePr w:type="band1Vert">
      <w:tcPr>
        <w:shd w:val="clear" w:color="daebcf" w:themeColor="accent6" w:themeTint="40" w:fill="daebcf" w:themeFill="accent6"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70AD47" w:themeColor="accent6" w:sz="4" w:space="0"/>
          <w:right w:val="none" w:color="000000" w:sz="4" w:space="0"/>
        </w:tcBorders>
      </w:tcPr>
    </w:tblStylePr>
    <w:tblStylePr w:type="lastCol">
      <w:rPr>
        <w:b/>
        <w:color w:val="404040"/>
      </w:rPr>
    </w:tblStylePr>
    <w:tblStylePr w:type="lastRow">
      <w:rPr>
        <w:b/>
        <w:color w:val="404040"/>
      </w:rPr>
      <w:tcPr>
        <w:tcBorders>
          <w:top w:val="single" w:color="70AD47" w:themeColor="accent6" w:sz="4" w:space="0"/>
          <w:left w:val="none" w:color="000000" w:sz="4" w:space="0"/>
          <w:bottom w:val="none" w:color="000000" w:sz="4" w:space="0"/>
          <w:right w:val="none" w:color="000000" w:sz="4" w:space="0"/>
        </w:tcBorders>
      </w:tcPr>
    </w:tblStylePr>
  </w:style>
  <w:style w:type="table" w:styleId="1240">
    <w:name w:val="List Table 2"/>
    <w:basedOn w:val="1157"/>
    <w:uiPriority w:val="99"/>
    <w:pPr>
      <w:spacing w:after="0" w:line="240" w:lineRule="auto"/>
    </w:pPr>
    <w:tblPr>
      <w:tblStyleRowBandSize w:val="1"/>
      <w:tblStyleColBandSize w:val="1"/>
      <w:tblBorders>
        <w:top w:val="single" w:color="6F6F6F" w:themeColor="text1" w:themeTint="90" w:sz="4" w:space="0"/>
        <w:bottom w:val="single" w:color="6F6F6F" w:themeColor="text1" w:themeTint="90" w:sz="4" w:space="0"/>
        <w:insideH w:val="single" w:color="6F6F6F" w:themeColor="text1" w:themeTint="90" w:sz="4" w:space="0"/>
      </w:tblBorders>
    </w:tblPr>
    <w:tblStylePr w:type="band1Horz">
      <w:rPr>
        <w:rFonts w:ascii="Arial" w:hAnsi="Arial"/>
        <w:color w:val="404040"/>
        <w:sz w:val="22"/>
      </w:rPr>
      <w:tcPr>
        <w:shd w:val="clear" w:color="bfbfbf" w:themeColor="text1" w:themeTint="40" w:fill="bfbfbf" w:themeFill="text1" w:themeFillTint="40"/>
      </w:tcPr>
    </w:tblStylePr>
    <w:tblStylePr w:type="band1Vert">
      <w:rPr>
        <w:rFonts w:ascii="Arial" w:hAnsi="Arial"/>
        <w:color w:val="404040"/>
        <w:sz w:val="22"/>
      </w:rPr>
      <w:tcPr>
        <w:shd w:val="clear" w:color="bfbfbf" w:themeColor="text1" w:themeTint="40" w:fill="bfbfbf" w:themeFill="tex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6F6F6F" w:themeColor="text1" w:themeTint="90" w:sz="4" w:space="0"/>
          <w:left w:val="none" w:color="000000" w:sz="4" w:space="0"/>
          <w:bottom w:val="single" w:color="6F6F6F" w:themeColor="tex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6F6F6F" w:themeColor="text1" w:themeTint="90" w:sz="4" w:space="0"/>
          <w:left w:val="none" w:color="000000" w:sz="4" w:space="0"/>
          <w:bottom w:val="single" w:color="6F6F6F" w:themeColor="text1" w:themeTint="90" w:sz="4" w:space="0"/>
          <w:right w:val="none" w:color="000000" w:sz="4" w:space="0"/>
        </w:tcBorders>
      </w:tcPr>
    </w:tblStylePr>
  </w:style>
  <w:style w:type="table" w:styleId="1241" w:customStyle="1">
    <w:name w:val="List Table 2 - Accent 1"/>
    <w:basedOn w:val="1157"/>
    <w:uiPriority w:val="99"/>
    <w:pPr>
      <w:spacing w:after="0" w:line="240" w:lineRule="auto"/>
    </w:pPr>
    <w:tblPr>
      <w:tblStyleRowBandSize w:val="1"/>
      <w:tblStyleColBandSize w:val="1"/>
      <w:tblBorders>
        <w:top w:val="single" w:color="A2C6E7" w:themeColor="accent1" w:themeTint="90" w:sz="4" w:space="0"/>
        <w:bottom w:val="single" w:color="A2C6E7" w:themeColor="accent1" w:themeTint="90" w:sz="4" w:space="0"/>
        <w:insideH w:val="single" w:color="A2C6E7" w:themeColor="accent1" w:themeTint="90" w:sz="4" w:space="0"/>
      </w:tblBorders>
    </w:tblPr>
    <w:tblStylePr w:type="band1Horz">
      <w:rPr>
        <w:rFonts w:ascii="Arial" w:hAnsi="Arial"/>
        <w:color w:val="404040"/>
        <w:sz w:val="22"/>
      </w:rPr>
      <w:tcPr>
        <w:shd w:val="clear" w:color="d5e5f4" w:themeColor="accent1" w:themeTint="40" w:fill="d5e5f4" w:themeFill="accent1" w:themeFillTint="40"/>
      </w:tcPr>
    </w:tblStylePr>
    <w:tblStylePr w:type="band1Vert">
      <w:rPr>
        <w:rFonts w:ascii="Arial" w:hAnsi="Arial"/>
        <w:color w:val="404040"/>
        <w:sz w:val="22"/>
      </w:rPr>
      <w:tcPr>
        <w:shd w:val="clear" w:color="d5e5f4" w:themeColor="accent1" w:themeTint="40" w:fill="d5e5f4" w:themeFill="accen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A2C6E7" w:themeColor="accent1" w:themeTint="90" w:sz="4" w:space="0"/>
          <w:left w:val="none" w:color="000000" w:sz="4" w:space="0"/>
          <w:bottom w:val="single" w:color="A2C6E7" w:themeColor="accen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A2C6E7" w:themeColor="accent1" w:themeTint="90" w:sz="4" w:space="0"/>
          <w:left w:val="none" w:color="000000" w:sz="4" w:space="0"/>
          <w:bottom w:val="single" w:color="A2C6E7" w:themeColor="accent1" w:themeTint="90" w:sz="4" w:space="0"/>
          <w:right w:val="none" w:color="000000" w:sz="4" w:space="0"/>
        </w:tcBorders>
      </w:tcPr>
    </w:tblStylePr>
  </w:style>
  <w:style w:type="table" w:styleId="1242" w:customStyle="1">
    <w:name w:val="List Table 2 - Accent 2"/>
    <w:basedOn w:val="1157"/>
    <w:uiPriority w:val="99"/>
    <w:pPr>
      <w:spacing w:after="0" w:line="240" w:lineRule="auto"/>
    </w:pPr>
    <w:tblPr>
      <w:tblStyleRowBandSize w:val="1"/>
      <w:tblStyleColBandSize w:val="1"/>
      <w:tblBorders>
        <w:top w:val="single" w:color="F4B58A" w:themeColor="accent2" w:themeTint="90" w:sz="4" w:space="0"/>
        <w:bottom w:val="single" w:color="F4B58A" w:themeColor="accent2" w:themeTint="90" w:sz="4" w:space="0"/>
        <w:insideH w:val="single" w:color="F4B58A" w:themeColor="accent2" w:themeTint="90" w:sz="4" w:space="0"/>
      </w:tblBorders>
    </w:tblPr>
    <w:tblStylePr w:type="band1Horz">
      <w:rPr>
        <w:rFonts w:ascii="Arial" w:hAnsi="Arial"/>
        <w:color w:val="404040"/>
        <w:sz w:val="22"/>
      </w:rPr>
      <w:tcPr>
        <w:shd w:val="clear" w:color="fadecb" w:themeColor="accent2" w:themeTint="40" w:fill="fadecb" w:themeFill="accent2" w:themeFillTint="40"/>
      </w:tcPr>
    </w:tblStylePr>
    <w:tblStylePr w:type="band1Vert">
      <w:rPr>
        <w:rFonts w:ascii="Arial" w:hAnsi="Arial"/>
        <w:color w:val="404040"/>
        <w:sz w:val="22"/>
      </w:rPr>
      <w:tcPr>
        <w:shd w:val="clear" w:color="fadecb" w:themeColor="accent2" w:themeTint="40" w:fill="fadecb" w:themeFill="accent2"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F4B58A" w:themeColor="accent2" w:themeTint="90" w:sz="4" w:space="0"/>
          <w:left w:val="none" w:color="000000" w:sz="4" w:space="0"/>
          <w:bottom w:val="single" w:color="F4B58A" w:themeColor="accent2"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F4B58A" w:themeColor="accent2" w:themeTint="90" w:sz="4" w:space="0"/>
          <w:left w:val="none" w:color="000000" w:sz="4" w:space="0"/>
          <w:bottom w:val="single" w:color="F4B58A" w:themeColor="accent2" w:themeTint="90" w:sz="4" w:space="0"/>
          <w:right w:val="none" w:color="000000" w:sz="4" w:space="0"/>
        </w:tcBorders>
      </w:tcPr>
    </w:tblStylePr>
  </w:style>
  <w:style w:type="table" w:styleId="1243" w:customStyle="1">
    <w:name w:val="List Table 2 - Accent 3"/>
    <w:basedOn w:val="1157"/>
    <w:uiPriority w:val="99"/>
    <w:pPr>
      <w:spacing w:after="0" w:line="240" w:lineRule="auto"/>
    </w:pPr>
    <w:tblPr>
      <w:tblStyleRowBandSize w:val="1"/>
      <w:tblStyleColBandSize w:val="1"/>
      <w:tblBorders>
        <w:top w:val="single" w:color="CCCCCC" w:themeColor="accent3" w:themeTint="90" w:sz="4" w:space="0"/>
        <w:bottom w:val="single" w:color="CCCCCC" w:themeColor="accent3" w:themeTint="90" w:sz="4" w:space="0"/>
        <w:insideH w:val="single" w:color="CCCCCC" w:themeColor="accent3" w:themeTint="90" w:sz="4" w:space="0"/>
      </w:tblBorders>
    </w:tblPr>
    <w:tblStylePr w:type="band1Horz">
      <w:rPr>
        <w:rFonts w:ascii="Arial" w:hAnsi="Arial"/>
        <w:color w:val="404040"/>
        <w:sz w:val="22"/>
      </w:rPr>
      <w:tcPr>
        <w:shd w:val="clear" w:color="e8e8e8" w:themeColor="accent3" w:themeTint="40" w:fill="e8e8e8" w:themeFill="accent3" w:themeFillTint="40"/>
      </w:tcPr>
    </w:tblStylePr>
    <w:tblStylePr w:type="band1Vert">
      <w:rPr>
        <w:rFonts w:ascii="Arial" w:hAnsi="Arial"/>
        <w:color w:val="404040"/>
        <w:sz w:val="22"/>
      </w:rPr>
      <w:tcPr>
        <w:shd w:val="clear" w:color="e8e8e8" w:themeColor="accent3" w:themeTint="40" w:fill="e8e8e8" w:themeFill="accent3"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CCCCCC" w:themeColor="accent3" w:themeTint="90" w:sz="4" w:space="0"/>
          <w:left w:val="none" w:color="000000" w:sz="4" w:space="0"/>
          <w:bottom w:val="single" w:color="CCCCCC" w:themeColor="accent3"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CCCCCC" w:themeColor="accent3" w:themeTint="90" w:sz="4" w:space="0"/>
          <w:left w:val="none" w:color="000000" w:sz="4" w:space="0"/>
          <w:bottom w:val="single" w:color="CCCCCC" w:themeColor="accent3" w:themeTint="90" w:sz="4" w:space="0"/>
          <w:right w:val="none" w:color="000000" w:sz="4" w:space="0"/>
        </w:tcBorders>
      </w:tcPr>
    </w:tblStylePr>
  </w:style>
  <w:style w:type="table" w:styleId="1244" w:customStyle="1">
    <w:name w:val="List Table 2 - Accent 4"/>
    <w:basedOn w:val="1157"/>
    <w:uiPriority w:val="99"/>
    <w:pPr>
      <w:spacing w:after="0" w:line="240" w:lineRule="auto"/>
    </w:pPr>
    <w:tblPr>
      <w:tblStyleRowBandSize w:val="1"/>
      <w:tblStyleColBandSize w:val="1"/>
      <w:tblBorders>
        <w:top w:val="single" w:color="FFDB6F" w:themeColor="accent4" w:themeTint="90" w:sz="4" w:space="0"/>
        <w:bottom w:val="single" w:color="FFDB6F" w:themeColor="accent4" w:themeTint="90" w:sz="4" w:space="0"/>
        <w:insideH w:val="single" w:color="FFDB6F" w:themeColor="accent4" w:themeTint="90" w:sz="4" w:space="0"/>
      </w:tblBorders>
    </w:tblPr>
    <w:tblStylePr w:type="band1Horz">
      <w:rPr>
        <w:rFonts w:ascii="Arial" w:hAnsi="Arial"/>
        <w:color w:val="404040"/>
        <w:sz w:val="22"/>
      </w:rPr>
      <w:tcPr>
        <w:shd w:val="clear" w:color="ffefbf" w:themeColor="accent4" w:themeTint="40" w:fill="ffefbf" w:themeFill="accent4" w:themeFillTint="40"/>
      </w:tcPr>
    </w:tblStylePr>
    <w:tblStylePr w:type="band1Vert">
      <w:rPr>
        <w:rFonts w:ascii="Arial" w:hAnsi="Arial"/>
        <w:color w:val="404040"/>
        <w:sz w:val="22"/>
      </w:rPr>
      <w:tcPr>
        <w:shd w:val="clear" w:color="ffefbf" w:themeColor="accent4" w:themeTint="40" w:fill="ffefbf" w:themeFill="accent4"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FFDB6F" w:themeColor="accent4" w:themeTint="90" w:sz="4" w:space="0"/>
          <w:left w:val="none" w:color="000000" w:sz="4" w:space="0"/>
          <w:bottom w:val="single" w:color="FFDB6F" w:themeColor="accent4"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FFDB6F" w:themeColor="accent4" w:themeTint="90" w:sz="4" w:space="0"/>
          <w:left w:val="none" w:color="000000" w:sz="4" w:space="0"/>
          <w:bottom w:val="single" w:color="FFDB6F" w:themeColor="accent4" w:themeTint="90" w:sz="4" w:space="0"/>
          <w:right w:val="none" w:color="000000" w:sz="4" w:space="0"/>
        </w:tcBorders>
      </w:tcPr>
    </w:tblStylePr>
  </w:style>
  <w:style w:type="table" w:styleId="1245" w:customStyle="1">
    <w:name w:val="List Table 2 - Accent 5"/>
    <w:basedOn w:val="1157"/>
    <w:uiPriority w:val="99"/>
    <w:pPr>
      <w:spacing w:after="0" w:line="240" w:lineRule="auto"/>
    </w:pPr>
    <w:tblPr>
      <w:tblStyleRowBandSize w:val="1"/>
      <w:tblStyleColBandSize w:val="1"/>
      <w:tblBorders>
        <w:top w:val="single" w:color="95AFDD" w:themeColor="accent5" w:themeTint="90" w:sz="4" w:space="0"/>
        <w:bottom w:val="single" w:color="95AFDD" w:themeColor="accent5" w:themeTint="90" w:sz="4" w:space="0"/>
        <w:insideH w:val="single" w:color="95AFDD" w:themeColor="accent5" w:themeTint="90" w:sz="4" w:space="0"/>
      </w:tblBorders>
    </w:tblPr>
    <w:tblStylePr w:type="band1Horz">
      <w:rPr>
        <w:rFonts w:ascii="Arial" w:hAnsi="Arial"/>
        <w:color w:val="404040"/>
        <w:sz w:val="22"/>
      </w:rPr>
      <w:tcPr>
        <w:shd w:val="clear" w:color="cfdbf0" w:themeColor="accent5" w:themeTint="40" w:fill="cfdbf0" w:themeFill="accent5" w:themeFillTint="40"/>
      </w:tcPr>
    </w:tblStylePr>
    <w:tblStylePr w:type="band1Vert">
      <w:rPr>
        <w:rFonts w:ascii="Arial" w:hAnsi="Arial"/>
        <w:color w:val="404040"/>
        <w:sz w:val="22"/>
      </w:rPr>
      <w:tcPr>
        <w:shd w:val="clear" w:color="cfdbf0" w:themeColor="accent5" w:themeTint="40" w:fill="cfdbf0" w:themeFill="accent5"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95AFDD" w:themeColor="accent5" w:themeTint="90" w:sz="4" w:space="0"/>
          <w:left w:val="none" w:color="000000" w:sz="4" w:space="0"/>
          <w:bottom w:val="single" w:color="95AFDD" w:themeColor="accent5"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95AFDD" w:themeColor="accent5" w:themeTint="90" w:sz="4" w:space="0"/>
          <w:left w:val="none" w:color="000000" w:sz="4" w:space="0"/>
          <w:bottom w:val="single" w:color="95AFDD" w:themeColor="accent5" w:themeTint="90" w:sz="4" w:space="0"/>
          <w:right w:val="none" w:color="000000" w:sz="4" w:space="0"/>
        </w:tcBorders>
      </w:tcPr>
    </w:tblStylePr>
  </w:style>
  <w:style w:type="table" w:styleId="1246" w:customStyle="1">
    <w:name w:val="List Table 2 - Accent 6"/>
    <w:basedOn w:val="1157"/>
    <w:uiPriority w:val="99"/>
    <w:pPr>
      <w:spacing w:after="0" w:line="240" w:lineRule="auto"/>
    </w:pPr>
    <w:tblPr>
      <w:tblStyleRowBandSize w:val="1"/>
      <w:tblStyleColBandSize w:val="1"/>
      <w:tblBorders>
        <w:top w:val="single" w:color="ADD394" w:themeColor="accent6" w:themeTint="90" w:sz="4" w:space="0"/>
        <w:bottom w:val="single" w:color="ADD394" w:themeColor="accent6" w:themeTint="90" w:sz="4" w:space="0"/>
        <w:insideH w:val="single" w:color="ADD394" w:themeColor="accent6" w:themeTint="90" w:sz="4" w:space="0"/>
      </w:tblBorders>
    </w:tblPr>
    <w:tblStylePr w:type="band1Horz">
      <w:rPr>
        <w:rFonts w:ascii="Arial" w:hAnsi="Arial"/>
        <w:color w:val="404040"/>
        <w:sz w:val="22"/>
      </w:rPr>
      <w:tcPr>
        <w:shd w:val="clear" w:color="daebcf" w:themeColor="accent6" w:themeTint="40" w:fill="daebcf" w:themeFill="accent6" w:themeFillTint="40"/>
      </w:tcPr>
    </w:tblStylePr>
    <w:tblStylePr w:type="band1Vert">
      <w:rPr>
        <w:rFonts w:ascii="Arial" w:hAnsi="Arial"/>
        <w:color w:val="404040"/>
        <w:sz w:val="22"/>
      </w:rPr>
      <w:tcPr>
        <w:shd w:val="clear" w:color="daebcf" w:themeColor="accent6" w:themeTint="40" w:fill="daebcf" w:themeFill="accent6"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ADD394" w:themeColor="accent6" w:themeTint="90" w:sz="4" w:space="0"/>
          <w:left w:val="none" w:color="000000" w:sz="4" w:space="0"/>
          <w:bottom w:val="single" w:color="ADD394" w:themeColor="accent6"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ADD394" w:themeColor="accent6" w:themeTint="90" w:sz="4" w:space="0"/>
          <w:left w:val="none" w:color="000000" w:sz="4" w:space="0"/>
          <w:bottom w:val="single" w:color="ADD394" w:themeColor="accent6" w:themeTint="90" w:sz="4" w:space="0"/>
          <w:right w:val="none" w:color="000000" w:sz="4" w:space="0"/>
        </w:tcBorders>
      </w:tcPr>
    </w:tblStylePr>
  </w:style>
  <w:style w:type="table" w:styleId="1247">
    <w:name w:val="List Table 3"/>
    <w:basedOn w:val="1157"/>
    <w:uiPriority w:val="99"/>
    <w:pPr>
      <w:spacing w:after="0" w:line="240" w:lineRule="auto"/>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band1Horz">
      <w:rPr>
        <w:rFonts w:ascii="Arial" w:hAnsi="Arial"/>
        <w:color w:val="404040"/>
        <w:sz w:val="22"/>
      </w:rPr>
      <w:tcPr>
        <w:tcBorders>
          <w:top w:val="single" w:color="000000" w:themeColor="text1" w:sz="4" w:space="0"/>
          <w:bottom w:val="single" w:color="000000" w:themeColor="text1" w:sz="4" w:space="0"/>
        </w:tcBorders>
      </w:tc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firstCol">
      <w:rPr>
        <w:b/>
        <w:color w:val="404040"/>
      </w:rPr>
    </w:tblStylePr>
    <w:tblStylePr w:type="firstRow">
      <w:rPr>
        <w:rFonts w:ascii="Arial" w:hAnsi="Arial"/>
        <w:b/>
        <w:color w:val="ffffff"/>
        <w:sz w:val="22"/>
      </w:rPr>
      <w:tcPr>
        <w:shd w:val="clear" w:color="000000" w:themeColor="text1" w:fill="000000" w:themeFill="text1"/>
      </w:tcPr>
    </w:tblStylePr>
    <w:tblStylePr w:type="lastCol">
      <w:rPr>
        <w:b/>
        <w:color w:val="404040"/>
      </w:rPr>
    </w:tblStylePr>
    <w:tblStylePr w:type="lastRow">
      <w:rPr>
        <w:b/>
        <w:color w:val="404040"/>
      </w:rPr>
    </w:tblStylePr>
  </w:style>
  <w:style w:type="table" w:styleId="1248" w:customStyle="1">
    <w:name w:val="List Table 3 - Accent 1"/>
    <w:basedOn w:val="1157"/>
    <w:uiPriority w:val="99"/>
    <w:pPr>
      <w:spacing w:after="0" w:line="240" w:lineRule="auto"/>
    </w:pPr>
    <w:tblPr>
      <w:tblStyleRowBandSize w:val="1"/>
      <w:tblStyleColBandSize w:val="1"/>
      <w:tblBorders>
        <w:top w:val="single" w:color="5B9BD5" w:themeColor="accent1" w:sz="4" w:space="0"/>
        <w:left w:val="single" w:color="5B9BD5" w:themeColor="accent1" w:sz="4" w:space="0"/>
        <w:bottom w:val="single" w:color="5B9BD5" w:themeColor="accent1" w:sz="4" w:space="0"/>
        <w:right w:val="single" w:color="5B9BD5" w:themeColor="accent1" w:sz="4" w:space="0"/>
      </w:tblBorders>
    </w:tblPr>
    <w:tblStylePr w:type="band1Horz">
      <w:rPr>
        <w:rFonts w:ascii="Arial" w:hAnsi="Arial"/>
        <w:color w:val="404040"/>
        <w:sz w:val="22"/>
      </w:rPr>
      <w:tcPr>
        <w:tcBorders>
          <w:top w:val="single" w:color="5B9BD5" w:themeColor="accent1" w:sz="4" w:space="0"/>
          <w:bottom w:val="single" w:color="5B9BD5" w:themeColor="accent1" w:sz="4" w:space="0"/>
        </w:tcBorders>
      </w:tcPr>
    </w:tblStylePr>
    <w:tblStylePr w:type="band1Vert">
      <w:rPr>
        <w:rFonts w:ascii="Arial" w:hAnsi="Arial"/>
        <w:color w:val="404040"/>
        <w:sz w:val="22"/>
      </w:rPr>
      <w:tcPr>
        <w:tcBorders>
          <w:left w:val="single" w:color="5B9BD5" w:themeColor="accent1" w:sz="4" w:space="0"/>
          <w:right w:val="single" w:color="5B9BD5" w:themeColor="accent1" w:sz="4" w:space="0"/>
        </w:tcBorders>
      </w:tcPr>
    </w:tblStylePr>
    <w:tblStylePr w:type="firstCol">
      <w:rPr>
        <w:b/>
        <w:color w:val="404040"/>
      </w:rPr>
    </w:tblStylePr>
    <w:tblStylePr w:type="firstRow">
      <w:rPr>
        <w:rFonts w:ascii="Arial" w:hAnsi="Arial"/>
        <w:b/>
        <w:color w:val="ffffff"/>
        <w:sz w:val="22"/>
      </w:rPr>
      <w:tcPr>
        <w:shd w:val="clear" w:color="5b9bd5" w:themeColor="accent1" w:fill="5b9bd5" w:themeFill="accent1"/>
      </w:tcPr>
    </w:tblStylePr>
    <w:tblStylePr w:type="lastCol">
      <w:rPr>
        <w:b/>
        <w:color w:val="404040"/>
      </w:rPr>
    </w:tblStylePr>
    <w:tblStylePr w:type="lastRow">
      <w:rPr>
        <w:b/>
        <w:color w:val="404040"/>
      </w:rPr>
    </w:tblStylePr>
  </w:style>
  <w:style w:type="table" w:styleId="1249" w:customStyle="1">
    <w:name w:val="List Table 3 - Accent 2"/>
    <w:basedOn w:val="1157"/>
    <w:uiPriority w:val="99"/>
    <w:pPr>
      <w:spacing w:after="0" w:line="240" w:lineRule="auto"/>
    </w:pPr>
    <w:tblPr>
      <w:tblStyleRowBandSize w:val="1"/>
      <w:tblStyleColBandSize w:val="1"/>
      <w:tblBorders>
        <w:top w:val="single" w:color="F4B184" w:themeColor="accent2" w:themeTint="97" w:sz="4" w:space="0"/>
        <w:left w:val="single" w:color="F4B184" w:themeColor="accent2" w:themeTint="97" w:sz="4" w:space="0"/>
        <w:bottom w:val="single" w:color="F4B184" w:themeColor="accent2" w:themeTint="97" w:sz="4" w:space="0"/>
        <w:right w:val="single" w:color="F4B184" w:themeColor="accent2" w:themeTint="97" w:sz="4" w:space="0"/>
      </w:tblBorders>
    </w:tblPr>
    <w:tblStylePr w:type="band1Horz">
      <w:rPr>
        <w:rFonts w:ascii="Arial" w:hAnsi="Arial"/>
        <w:color w:val="404040"/>
        <w:sz w:val="22"/>
      </w:rPr>
      <w:tcPr>
        <w:tcBorders>
          <w:top w:val="single" w:color="F4B184" w:themeColor="accent2" w:themeTint="97" w:sz="4" w:space="0"/>
          <w:bottom w:val="single" w:color="F4B184" w:themeColor="accent2" w:themeTint="97" w:sz="4" w:space="0"/>
        </w:tcBorders>
      </w:tcPr>
    </w:tblStylePr>
    <w:tblStylePr w:type="band1Vert">
      <w:rPr>
        <w:rFonts w:ascii="Arial" w:hAnsi="Arial"/>
        <w:color w:val="404040"/>
        <w:sz w:val="22"/>
      </w:rPr>
      <w:tcPr>
        <w:tcBorders>
          <w:left w:val="single" w:color="F4B184" w:themeColor="accent2" w:themeTint="97" w:sz="4" w:space="0"/>
          <w:right w:val="single" w:color="F4B184" w:themeColor="accent2" w:themeTint="97" w:sz="4" w:space="0"/>
        </w:tcBorders>
      </w:tcPr>
    </w:tblStylePr>
    <w:tblStylePr w:type="firstCol">
      <w:rPr>
        <w:b/>
        <w:color w:val="404040"/>
      </w:rPr>
    </w:tblStylePr>
    <w:tblStylePr w:type="firstRow">
      <w:rPr>
        <w:rFonts w:ascii="Arial" w:hAnsi="Arial"/>
        <w:b/>
        <w:color w:val="ffffff"/>
        <w:sz w:val="22"/>
      </w:rPr>
      <w:tcPr>
        <w:shd w:val="clear" w:color="f4b184" w:themeColor="accent2" w:themeTint="97" w:fill="f4b184" w:themeFill="accent2" w:themeFillTint="97"/>
      </w:tcPr>
    </w:tblStylePr>
    <w:tblStylePr w:type="lastCol">
      <w:rPr>
        <w:b/>
        <w:color w:val="404040"/>
      </w:rPr>
    </w:tblStylePr>
    <w:tblStylePr w:type="lastRow">
      <w:rPr>
        <w:b/>
        <w:color w:val="404040"/>
      </w:rPr>
    </w:tblStylePr>
  </w:style>
  <w:style w:type="table" w:styleId="1250" w:customStyle="1">
    <w:name w:val="List Table 3 - Accent 3"/>
    <w:basedOn w:val="1157"/>
    <w:uiPriority w:val="99"/>
    <w:pPr>
      <w:spacing w:after="0" w:line="240" w:lineRule="auto"/>
    </w:pPr>
    <w:tblPr>
      <w:tblStyleRowBandSize w:val="1"/>
      <w:tblStyleColBandSize w:val="1"/>
      <w:tblBorders>
        <w:top w:val="single" w:color="C9C9C9" w:themeColor="accent3" w:themeTint="98" w:sz="4" w:space="0"/>
        <w:left w:val="single" w:color="C9C9C9" w:themeColor="accent3" w:themeTint="98" w:sz="4" w:space="0"/>
        <w:bottom w:val="single" w:color="C9C9C9" w:themeColor="accent3" w:themeTint="98" w:sz="4" w:space="0"/>
        <w:right w:val="single" w:color="C9C9C9" w:themeColor="accent3" w:themeTint="98" w:sz="4" w:space="0"/>
      </w:tblBorders>
    </w:tblPr>
    <w:tblStylePr w:type="band1Horz">
      <w:rPr>
        <w:rFonts w:ascii="Arial" w:hAnsi="Arial"/>
        <w:color w:val="404040"/>
        <w:sz w:val="22"/>
      </w:rPr>
      <w:tcPr>
        <w:tcBorders>
          <w:top w:val="single" w:color="C9C9C9" w:themeColor="accent3" w:themeTint="98" w:sz="4" w:space="0"/>
          <w:bottom w:val="single" w:color="C9C9C9" w:themeColor="accent3" w:themeTint="98" w:sz="4" w:space="0"/>
        </w:tcBorders>
      </w:tcPr>
    </w:tblStylePr>
    <w:tblStylePr w:type="band1Vert">
      <w:rPr>
        <w:rFonts w:ascii="Arial" w:hAnsi="Arial"/>
        <w:color w:val="404040"/>
        <w:sz w:val="22"/>
      </w:rPr>
      <w:tcPr>
        <w:tcBorders>
          <w:left w:val="single" w:color="C9C9C9" w:themeColor="accent3" w:themeTint="98" w:sz="4" w:space="0"/>
          <w:right w:val="single" w:color="C9C9C9" w:themeColor="accent3" w:themeTint="98" w:sz="4" w:space="0"/>
        </w:tcBorders>
      </w:tcPr>
    </w:tblStylePr>
    <w:tblStylePr w:type="firstCol">
      <w:rPr>
        <w:b/>
        <w:color w:val="404040"/>
      </w:rPr>
    </w:tblStylePr>
    <w:tblStylePr w:type="firstRow">
      <w:rPr>
        <w:rFonts w:ascii="Arial" w:hAnsi="Arial"/>
        <w:b/>
        <w:color w:val="ffffff"/>
        <w:sz w:val="22"/>
      </w:rPr>
      <w:tcPr>
        <w:shd w:val="clear" w:color="c9c9c9" w:themeColor="accent3" w:themeTint="98" w:fill="c9c9c9" w:themeFill="accent3" w:themeFillTint="98"/>
      </w:tcPr>
    </w:tblStylePr>
    <w:tblStylePr w:type="lastCol">
      <w:rPr>
        <w:b/>
        <w:color w:val="404040"/>
      </w:rPr>
    </w:tblStylePr>
    <w:tblStylePr w:type="lastRow">
      <w:rPr>
        <w:b/>
        <w:color w:val="404040"/>
      </w:rPr>
    </w:tblStylePr>
  </w:style>
  <w:style w:type="table" w:styleId="1251" w:customStyle="1">
    <w:name w:val="List Table 3 - Accent 4"/>
    <w:basedOn w:val="1157"/>
    <w:uiPriority w:val="99"/>
    <w:pPr>
      <w:spacing w:after="0" w:line="240" w:lineRule="auto"/>
    </w:pPr>
    <w:tblPr>
      <w:tblStyleRowBandSize w:val="1"/>
      <w:tblStyleColBandSize w:val="1"/>
      <w:tblBorders>
        <w:top w:val="single" w:color="FFD865" w:themeColor="accent4" w:themeTint="9A" w:sz="4" w:space="0"/>
        <w:left w:val="single" w:color="FFD865" w:themeColor="accent4" w:themeTint="9A" w:sz="4" w:space="0"/>
        <w:bottom w:val="single" w:color="FFD865" w:themeColor="accent4" w:themeTint="9A" w:sz="4" w:space="0"/>
        <w:right w:val="single" w:color="FFD865" w:themeColor="accent4" w:themeTint="9A" w:sz="4" w:space="0"/>
      </w:tblBorders>
    </w:tblPr>
    <w:tblStylePr w:type="band1Horz">
      <w:rPr>
        <w:rFonts w:ascii="Arial" w:hAnsi="Arial"/>
        <w:color w:val="404040"/>
        <w:sz w:val="22"/>
      </w:rPr>
      <w:tcPr>
        <w:tcBorders>
          <w:top w:val="single" w:color="FFD865" w:themeColor="accent4" w:themeTint="9A" w:sz="4" w:space="0"/>
          <w:bottom w:val="single" w:color="FFD865" w:themeColor="accent4" w:themeTint="9A" w:sz="4" w:space="0"/>
        </w:tcBorders>
      </w:tcPr>
    </w:tblStylePr>
    <w:tblStylePr w:type="band1Vert">
      <w:rPr>
        <w:rFonts w:ascii="Arial" w:hAnsi="Arial"/>
        <w:color w:val="404040"/>
        <w:sz w:val="22"/>
      </w:rPr>
      <w:tcPr>
        <w:tcBorders>
          <w:left w:val="single" w:color="FFD865" w:themeColor="accent4" w:themeTint="9A" w:sz="4" w:space="0"/>
          <w:right w:val="single" w:color="FFD865" w:themeColor="accent4" w:themeTint="9A" w:sz="4" w:space="0"/>
        </w:tcBorders>
      </w:tcPr>
    </w:tblStylePr>
    <w:tblStylePr w:type="firstCol">
      <w:rPr>
        <w:b/>
        <w:color w:val="404040"/>
      </w:rPr>
    </w:tblStylePr>
    <w:tblStylePr w:type="firstRow">
      <w:rPr>
        <w:rFonts w:ascii="Arial" w:hAnsi="Arial"/>
        <w:b/>
        <w:color w:val="ffffff"/>
        <w:sz w:val="22"/>
      </w:rPr>
      <w:tcPr>
        <w:shd w:val="clear" w:color="ffd865" w:themeColor="accent4" w:themeTint="9A" w:fill="ffd865" w:themeFill="accent4" w:themeFillTint="9A"/>
      </w:tcPr>
    </w:tblStylePr>
    <w:tblStylePr w:type="lastCol">
      <w:rPr>
        <w:b/>
        <w:color w:val="404040"/>
      </w:rPr>
    </w:tblStylePr>
    <w:tblStylePr w:type="lastRow">
      <w:rPr>
        <w:b/>
        <w:color w:val="404040"/>
      </w:rPr>
    </w:tblStylePr>
  </w:style>
  <w:style w:type="table" w:styleId="1252" w:customStyle="1">
    <w:name w:val="List Table 3 - Accent 5"/>
    <w:basedOn w:val="1157"/>
    <w:uiPriority w:val="99"/>
    <w:pPr>
      <w:spacing w:after="0" w:line="240" w:lineRule="auto"/>
    </w:pPr>
    <w:tblPr>
      <w:tblStyleRowBandSize w:val="1"/>
      <w:tblStyleColBandSize w:val="1"/>
      <w:tblBorders>
        <w:top w:val="single" w:color="8DA9DB" w:themeColor="accent5" w:themeTint="9A" w:sz="4" w:space="0"/>
        <w:left w:val="single" w:color="8DA9DB" w:themeColor="accent5" w:themeTint="9A" w:sz="4" w:space="0"/>
        <w:bottom w:val="single" w:color="8DA9DB" w:themeColor="accent5" w:themeTint="9A" w:sz="4" w:space="0"/>
        <w:right w:val="single" w:color="8DA9DB" w:themeColor="accent5" w:themeTint="9A" w:sz="4" w:space="0"/>
      </w:tblBorders>
    </w:tblPr>
    <w:tblStylePr w:type="band1Horz">
      <w:rPr>
        <w:rFonts w:ascii="Arial" w:hAnsi="Arial"/>
        <w:color w:val="404040"/>
        <w:sz w:val="22"/>
      </w:rPr>
      <w:tcPr>
        <w:tcBorders>
          <w:top w:val="single" w:color="8DA9DB" w:themeColor="accent5" w:themeTint="9A" w:sz="4" w:space="0"/>
          <w:bottom w:val="single" w:color="8DA9DB" w:themeColor="accent5" w:themeTint="9A" w:sz="4" w:space="0"/>
        </w:tcBorders>
      </w:tcPr>
    </w:tblStylePr>
    <w:tblStylePr w:type="band1Vert">
      <w:rPr>
        <w:rFonts w:ascii="Arial" w:hAnsi="Arial"/>
        <w:color w:val="404040"/>
        <w:sz w:val="22"/>
      </w:rPr>
      <w:tcPr>
        <w:tcBorders>
          <w:left w:val="single" w:color="8DA9DB" w:themeColor="accent5" w:themeTint="9A" w:sz="4" w:space="0"/>
          <w:right w:val="single" w:color="8DA9DB" w:themeColor="accent5" w:themeTint="9A" w:sz="4" w:space="0"/>
        </w:tcBorders>
      </w:tcPr>
    </w:tblStylePr>
    <w:tblStylePr w:type="firstCol">
      <w:rPr>
        <w:b/>
        <w:color w:val="404040"/>
      </w:rPr>
    </w:tblStylePr>
    <w:tblStylePr w:type="firstRow">
      <w:rPr>
        <w:rFonts w:ascii="Arial" w:hAnsi="Arial"/>
        <w:b/>
        <w:color w:val="ffffff"/>
        <w:sz w:val="22"/>
      </w:rPr>
      <w:tcPr>
        <w:shd w:val="clear" w:color="8da9db" w:themeColor="accent5" w:themeTint="9A" w:fill="8da9db" w:themeFill="accent5" w:themeFillTint="9A"/>
      </w:tcPr>
    </w:tblStylePr>
    <w:tblStylePr w:type="lastCol">
      <w:rPr>
        <w:b/>
        <w:color w:val="404040"/>
      </w:rPr>
    </w:tblStylePr>
    <w:tblStylePr w:type="lastRow">
      <w:rPr>
        <w:b/>
        <w:color w:val="404040"/>
      </w:rPr>
    </w:tblStylePr>
  </w:style>
  <w:style w:type="table" w:styleId="1253" w:customStyle="1">
    <w:name w:val="List Table 3 - Accent 6"/>
    <w:basedOn w:val="1157"/>
    <w:uiPriority w:val="99"/>
    <w:pPr>
      <w:spacing w:after="0" w:line="240" w:lineRule="auto"/>
    </w:pPr>
    <w:tblPr>
      <w:tblStyleRowBandSize w:val="1"/>
      <w:tblStyleColBandSize w:val="1"/>
      <w:tblBorders>
        <w:top w:val="single" w:color="A9D08E" w:themeColor="accent6" w:themeTint="98" w:sz="4" w:space="0"/>
        <w:left w:val="single" w:color="A9D08E" w:themeColor="accent6" w:themeTint="98" w:sz="4" w:space="0"/>
        <w:bottom w:val="single" w:color="A9D08E" w:themeColor="accent6" w:themeTint="98" w:sz="4" w:space="0"/>
        <w:right w:val="single" w:color="A9D08E" w:themeColor="accent6" w:themeTint="98" w:sz="4" w:space="0"/>
      </w:tblBorders>
    </w:tblPr>
    <w:tblStylePr w:type="band1Horz">
      <w:rPr>
        <w:rFonts w:ascii="Arial" w:hAnsi="Arial"/>
        <w:color w:val="404040"/>
        <w:sz w:val="22"/>
      </w:rPr>
      <w:tcPr>
        <w:tcBorders>
          <w:top w:val="single" w:color="A9D08E" w:themeColor="accent6" w:themeTint="98" w:sz="4" w:space="0"/>
          <w:bottom w:val="single" w:color="A9D08E" w:themeColor="accent6" w:themeTint="98" w:sz="4" w:space="0"/>
        </w:tcBorders>
      </w:tcPr>
    </w:tblStylePr>
    <w:tblStylePr w:type="band1Vert">
      <w:rPr>
        <w:rFonts w:ascii="Arial" w:hAnsi="Arial"/>
        <w:color w:val="404040"/>
        <w:sz w:val="22"/>
      </w:rPr>
      <w:tcPr>
        <w:tcBorders>
          <w:left w:val="single" w:color="A9D08E" w:themeColor="accent6" w:themeTint="98" w:sz="4" w:space="0"/>
          <w:right w:val="single" w:color="A9D08E" w:themeColor="accent6" w:themeTint="98" w:sz="4" w:space="0"/>
        </w:tcBorders>
      </w:tcPr>
    </w:tblStylePr>
    <w:tblStylePr w:type="firstCol">
      <w:rPr>
        <w:b/>
        <w:color w:val="404040"/>
      </w:rPr>
    </w:tblStylePr>
    <w:tblStylePr w:type="firstRow">
      <w:rPr>
        <w:rFonts w:ascii="Arial" w:hAnsi="Arial"/>
        <w:b/>
        <w:color w:val="ffffff"/>
        <w:sz w:val="22"/>
      </w:rPr>
      <w:tcPr>
        <w:shd w:val="clear" w:color="a9d08e" w:themeColor="accent6" w:themeTint="98" w:fill="a9d08e" w:themeFill="accent6" w:themeFillTint="98"/>
      </w:tcPr>
    </w:tblStylePr>
    <w:tblStylePr w:type="lastCol">
      <w:rPr>
        <w:b/>
        <w:color w:val="404040"/>
      </w:rPr>
    </w:tblStylePr>
    <w:tblStylePr w:type="lastRow">
      <w:rPr>
        <w:b/>
        <w:color w:val="404040"/>
      </w:rPr>
    </w:tblStylePr>
  </w:style>
  <w:style w:type="table" w:styleId="1254">
    <w:name w:val="List Table 4"/>
    <w:basedOn w:val="1157"/>
    <w:uiPriority w:val="99"/>
    <w:pPr>
      <w:spacing w:after="0" w:line="240" w:lineRule="auto"/>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band1Horz">
      <w:rPr>
        <w:rFonts w:ascii="Arial" w:hAnsi="Arial"/>
        <w:color w:val="404040"/>
        <w:sz w:val="22"/>
      </w:rPr>
      <w:tcPr>
        <w:shd w:val="clear" w:color="bfbfbf" w:themeColor="text1" w:themeTint="40" w:fill="bfbfbf" w:themeFill="text1" w:themeFillTint="40"/>
      </w:tcPr>
    </w:tblStylePr>
    <w:tblStylePr w:type="band1Vert">
      <w:rPr>
        <w:rFonts w:ascii="Arial" w:hAnsi="Arial"/>
        <w:color w:val="404040"/>
        <w:sz w:val="22"/>
      </w:rPr>
      <w:tcPr>
        <w:shd w:val="clear" w:color="bfbfbf" w:themeColor="text1" w:themeTint="40" w:fill="bfbfbf" w:themeFill="text1" w:themeFillTint="40"/>
      </w:tcPr>
    </w:tblStylePr>
    <w:tblStylePr w:type="firstCol">
      <w:rPr>
        <w:b/>
        <w:color w:val="404040"/>
      </w:rPr>
    </w:tblStylePr>
    <w:tblStylePr w:type="firstRow">
      <w:rPr>
        <w:rFonts w:ascii="Arial" w:hAnsi="Arial"/>
        <w:b/>
        <w:color w:val="ffffff"/>
        <w:sz w:val="22"/>
      </w:rPr>
      <w:tcPr>
        <w:shd w:val="clear" w:color="000000" w:themeColor="text1" w:fill="000000" w:themeFill="text1"/>
      </w:tcPr>
    </w:tblStylePr>
    <w:tblStylePr w:type="lastCol">
      <w:rPr>
        <w:b/>
        <w:color w:val="404040"/>
      </w:rPr>
    </w:tblStylePr>
    <w:tblStylePr w:type="lastRow">
      <w:rPr>
        <w:b/>
        <w:color w:val="404040"/>
      </w:rPr>
    </w:tblStylePr>
  </w:style>
  <w:style w:type="table" w:styleId="1255" w:customStyle="1">
    <w:name w:val="List Table 4 - Accent 1"/>
    <w:basedOn w:val="1157"/>
    <w:uiPriority w:val="99"/>
    <w:pPr>
      <w:spacing w:after="0" w:line="240" w:lineRule="auto"/>
    </w:pPr>
    <w:tblPr>
      <w:tblStyleRowBandSize w:val="1"/>
      <w:tblStyleColBandSize w:val="1"/>
      <w:tblBorders>
        <w:top w:val="single" w:color="A2C6E7" w:themeColor="accent1" w:themeTint="90" w:sz="4" w:space="0"/>
        <w:left w:val="single" w:color="A2C6E7" w:themeColor="accent1" w:themeTint="90" w:sz="4" w:space="0"/>
        <w:bottom w:val="single" w:color="A2C6E7" w:themeColor="accent1" w:themeTint="90" w:sz="4" w:space="0"/>
        <w:right w:val="single" w:color="A2C6E7" w:themeColor="accent1" w:themeTint="90" w:sz="4" w:space="0"/>
        <w:insideH w:val="single" w:color="A2C6E7" w:themeColor="accent1" w:themeTint="90" w:sz="4" w:space="0"/>
      </w:tblBorders>
    </w:tblPr>
    <w:tblStylePr w:type="band1Horz">
      <w:rPr>
        <w:rFonts w:ascii="Arial" w:hAnsi="Arial"/>
        <w:color w:val="404040"/>
        <w:sz w:val="22"/>
      </w:rPr>
      <w:tcPr>
        <w:shd w:val="clear" w:color="d5e5f4" w:themeColor="accent1" w:themeTint="40" w:fill="d5e5f4" w:themeFill="accent1" w:themeFillTint="40"/>
      </w:tcPr>
    </w:tblStylePr>
    <w:tblStylePr w:type="band1Vert">
      <w:rPr>
        <w:rFonts w:ascii="Arial" w:hAnsi="Arial"/>
        <w:color w:val="404040"/>
        <w:sz w:val="22"/>
      </w:rPr>
      <w:tcPr>
        <w:shd w:val="clear" w:color="d5e5f4" w:themeColor="accent1" w:themeTint="40" w:fill="d5e5f4" w:themeFill="accent1" w:themeFillTint="40"/>
      </w:tcPr>
    </w:tblStylePr>
    <w:tblStylePr w:type="firstCol">
      <w:rPr>
        <w:b/>
        <w:color w:val="404040"/>
      </w:rPr>
    </w:tblStylePr>
    <w:tblStylePr w:type="firstRow">
      <w:rPr>
        <w:rFonts w:ascii="Arial" w:hAnsi="Arial"/>
        <w:b/>
        <w:color w:val="ffffff"/>
        <w:sz w:val="22"/>
      </w:rPr>
      <w:tcPr>
        <w:shd w:val="clear" w:color="5b9bd5" w:themeColor="accent1" w:fill="5b9bd5" w:themeFill="accent1"/>
      </w:tcPr>
    </w:tblStylePr>
    <w:tblStylePr w:type="lastCol">
      <w:rPr>
        <w:b/>
        <w:color w:val="404040"/>
      </w:rPr>
    </w:tblStylePr>
    <w:tblStylePr w:type="lastRow">
      <w:rPr>
        <w:b/>
        <w:color w:val="404040"/>
      </w:rPr>
    </w:tblStylePr>
  </w:style>
  <w:style w:type="table" w:styleId="1256" w:customStyle="1">
    <w:name w:val="List Table 4 - Accent 2"/>
    <w:basedOn w:val="1157"/>
    <w:uiPriority w:val="99"/>
    <w:pPr>
      <w:spacing w:after="0" w:line="240" w:lineRule="auto"/>
    </w:pPr>
    <w:tblPr>
      <w:tblStyleRowBandSize w:val="1"/>
      <w:tblStyleColBandSize w:val="1"/>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tblBorders>
    </w:tblPr>
    <w:tblStylePr w:type="band1Horz">
      <w:rPr>
        <w:rFonts w:ascii="Arial" w:hAnsi="Arial"/>
        <w:color w:val="404040"/>
        <w:sz w:val="22"/>
      </w:rPr>
      <w:tcPr>
        <w:shd w:val="clear" w:color="fadecb" w:themeColor="accent2" w:themeTint="40" w:fill="fadecb" w:themeFill="accent2" w:themeFillTint="40"/>
      </w:tcPr>
    </w:tblStylePr>
    <w:tblStylePr w:type="band1Vert">
      <w:rPr>
        <w:rFonts w:ascii="Arial" w:hAnsi="Arial"/>
        <w:color w:val="404040"/>
        <w:sz w:val="22"/>
      </w:rPr>
      <w:tcPr>
        <w:shd w:val="clear" w:color="fadecb" w:themeColor="accent2" w:themeTint="40" w:fill="fadecb" w:themeFill="accent2" w:themeFillTint="40"/>
      </w:tcPr>
    </w:tblStylePr>
    <w:tblStylePr w:type="firstCol">
      <w:rPr>
        <w:b/>
        <w:color w:val="404040"/>
      </w:rPr>
    </w:tblStylePr>
    <w:tblStylePr w:type="firstRow">
      <w:rPr>
        <w:rFonts w:ascii="Arial" w:hAnsi="Arial"/>
        <w:b/>
        <w:color w:val="ffffff"/>
        <w:sz w:val="22"/>
      </w:rPr>
      <w:tcPr>
        <w:shd w:val="clear" w:color="ed7d31" w:themeColor="accent2" w:fill="ed7d31" w:themeFill="accent2"/>
      </w:tcPr>
    </w:tblStylePr>
    <w:tblStylePr w:type="lastCol">
      <w:rPr>
        <w:b/>
        <w:color w:val="404040"/>
      </w:rPr>
    </w:tblStylePr>
    <w:tblStylePr w:type="lastRow">
      <w:rPr>
        <w:b/>
        <w:color w:val="404040"/>
      </w:rPr>
    </w:tblStylePr>
  </w:style>
  <w:style w:type="table" w:styleId="1257" w:customStyle="1">
    <w:name w:val="List Table 4 - Accent 3"/>
    <w:basedOn w:val="1157"/>
    <w:uiPriority w:val="99"/>
    <w:pPr>
      <w:spacing w:after="0" w:line="240" w:lineRule="auto"/>
    </w:pPr>
    <w:tblPr>
      <w:tblStyleRowBandSize w:val="1"/>
      <w:tblStyleColBandSize w:val="1"/>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tblBorders>
    </w:tblPr>
    <w:tblStylePr w:type="band1Horz">
      <w:rPr>
        <w:rFonts w:ascii="Arial" w:hAnsi="Arial"/>
        <w:color w:val="404040"/>
        <w:sz w:val="22"/>
      </w:rPr>
      <w:tcPr>
        <w:shd w:val="clear" w:color="e8e8e8" w:themeColor="accent3" w:themeTint="40" w:fill="e8e8e8" w:themeFill="accent3" w:themeFillTint="40"/>
      </w:tcPr>
    </w:tblStylePr>
    <w:tblStylePr w:type="band1Vert">
      <w:rPr>
        <w:rFonts w:ascii="Arial" w:hAnsi="Arial"/>
        <w:color w:val="404040"/>
        <w:sz w:val="22"/>
      </w:rPr>
      <w:tcPr>
        <w:shd w:val="clear" w:color="e8e8e8" w:themeColor="accent3" w:themeTint="40" w:fill="e8e8e8" w:themeFill="accent3" w:themeFillTint="40"/>
      </w:tcPr>
    </w:tblStylePr>
    <w:tblStylePr w:type="firstCol">
      <w:rPr>
        <w:b/>
        <w:color w:val="404040"/>
      </w:rPr>
    </w:tblStylePr>
    <w:tblStylePr w:type="firstRow">
      <w:rPr>
        <w:rFonts w:ascii="Arial" w:hAnsi="Arial"/>
        <w:b/>
        <w:color w:val="ffffff"/>
        <w:sz w:val="22"/>
      </w:rPr>
      <w:tcPr>
        <w:shd w:val="clear" w:color="a5a5a5" w:themeColor="accent3" w:fill="a5a5a5" w:themeFill="accent3"/>
      </w:tcPr>
    </w:tblStylePr>
    <w:tblStylePr w:type="lastCol">
      <w:rPr>
        <w:b/>
        <w:color w:val="404040"/>
      </w:rPr>
    </w:tblStylePr>
    <w:tblStylePr w:type="lastRow">
      <w:rPr>
        <w:b/>
        <w:color w:val="404040"/>
      </w:rPr>
    </w:tblStylePr>
  </w:style>
  <w:style w:type="table" w:styleId="1258" w:customStyle="1">
    <w:name w:val="List Table 4 - Accent 4"/>
    <w:basedOn w:val="1157"/>
    <w:uiPriority w:val="99"/>
    <w:pPr>
      <w:spacing w:after="0" w:line="240" w:lineRule="auto"/>
    </w:pPr>
    <w:tblPr>
      <w:tblStyleRowBandSize w:val="1"/>
      <w:tblStyleColBandSize w:val="1"/>
      <w:tblBorders>
        <w:top w:val="single" w:color="FFDB6F" w:themeColor="accent4" w:themeTint="90" w:sz="4" w:space="0"/>
        <w:left w:val="single" w:color="FFDB6F" w:themeColor="accent4" w:themeTint="90" w:sz="4" w:space="0"/>
        <w:bottom w:val="single" w:color="FFDB6F" w:themeColor="accent4" w:themeTint="90" w:sz="4" w:space="0"/>
        <w:right w:val="single" w:color="FFDB6F" w:themeColor="accent4" w:themeTint="90" w:sz="4" w:space="0"/>
        <w:insideH w:val="single" w:color="FFDB6F" w:themeColor="accent4" w:themeTint="90" w:sz="4" w:space="0"/>
      </w:tblBorders>
    </w:tblPr>
    <w:tblStylePr w:type="band1Horz">
      <w:rPr>
        <w:rFonts w:ascii="Arial" w:hAnsi="Arial"/>
        <w:color w:val="404040"/>
        <w:sz w:val="22"/>
      </w:rPr>
      <w:tcPr>
        <w:shd w:val="clear" w:color="ffefbf" w:themeColor="accent4" w:themeTint="40" w:fill="ffefbf" w:themeFill="accent4" w:themeFillTint="40"/>
      </w:tcPr>
    </w:tblStylePr>
    <w:tblStylePr w:type="band1Vert">
      <w:rPr>
        <w:rFonts w:ascii="Arial" w:hAnsi="Arial"/>
        <w:color w:val="404040"/>
        <w:sz w:val="22"/>
      </w:rPr>
      <w:tcPr>
        <w:shd w:val="clear" w:color="ffefbf" w:themeColor="accent4" w:themeTint="40" w:fill="ffefbf" w:themeFill="accent4" w:themeFillTint="40"/>
      </w:tcPr>
    </w:tblStylePr>
    <w:tblStylePr w:type="firstCol">
      <w:rPr>
        <w:b/>
        <w:color w:val="404040"/>
      </w:rPr>
    </w:tblStylePr>
    <w:tblStylePr w:type="firstRow">
      <w:rPr>
        <w:rFonts w:ascii="Arial" w:hAnsi="Arial"/>
        <w:b/>
        <w:color w:val="ffffff"/>
        <w:sz w:val="22"/>
      </w:rPr>
      <w:tcPr>
        <w:shd w:val="clear" w:color="ffc000" w:themeColor="accent4" w:fill="ffc000" w:themeFill="accent4"/>
      </w:tcPr>
    </w:tblStylePr>
    <w:tblStylePr w:type="lastCol">
      <w:rPr>
        <w:b/>
        <w:color w:val="404040"/>
      </w:rPr>
    </w:tblStylePr>
    <w:tblStylePr w:type="lastRow">
      <w:rPr>
        <w:b/>
        <w:color w:val="404040"/>
      </w:rPr>
    </w:tblStylePr>
  </w:style>
  <w:style w:type="table" w:styleId="1259" w:customStyle="1">
    <w:name w:val="List Table 4 - Accent 5"/>
    <w:basedOn w:val="1157"/>
    <w:uiPriority w:val="99"/>
    <w:pPr>
      <w:spacing w:after="0" w:line="240" w:lineRule="auto"/>
    </w:pPr>
    <w:tblPr>
      <w:tblStyleRowBandSize w:val="1"/>
      <w:tblStyleColBandSize w:val="1"/>
      <w:tblBorders>
        <w:top w:val="single" w:color="95AFDD" w:themeColor="accent5" w:themeTint="90" w:sz="4" w:space="0"/>
        <w:left w:val="single" w:color="95AFDD" w:themeColor="accent5" w:themeTint="90" w:sz="4" w:space="0"/>
        <w:bottom w:val="single" w:color="95AFDD" w:themeColor="accent5" w:themeTint="90" w:sz="4" w:space="0"/>
        <w:right w:val="single" w:color="95AFDD" w:themeColor="accent5" w:themeTint="90" w:sz="4" w:space="0"/>
        <w:insideH w:val="single" w:color="95AFDD" w:themeColor="accent5" w:themeTint="90" w:sz="4" w:space="0"/>
      </w:tblBorders>
    </w:tblPr>
    <w:tblStylePr w:type="band1Horz">
      <w:rPr>
        <w:rFonts w:ascii="Arial" w:hAnsi="Arial"/>
        <w:color w:val="404040"/>
        <w:sz w:val="22"/>
      </w:rPr>
      <w:tcPr>
        <w:shd w:val="clear" w:color="cfdbf0" w:themeColor="accent5" w:themeTint="40" w:fill="cfdbf0" w:themeFill="accent5" w:themeFillTint="40"/>
      </w:tcPr>
    </w:tblStylePr>
    <w:tblStylePr w:type="band1Vert">
      <w:rPr>
        <w:rFonts w:ascii="Arial" w:hAnsi="Arial"/>
        <w:color w:val="404040"/>
        <w:sz w:val="22"/>
      </w:rPr>
      <w:tcPr>
        <w:shd w:val="clear" w:color="cfdbf0" w:themeColor="accent5" w:themeTint="40" w:fill="cfdbf0" w:themeFill="accent5" w:themeFillTint="40"/>
      </w:tcPr>
    </w:tblStylePr>
    <w:tblStylePr w:type="firstCol">
      <w:rPr>
        <w:b/>
        <w:color w:val="404040"/>
      </w:rPr>
    </w:tblStylePr>
    <w:tblStylePr w:type="firstRow">
      <w:rPr>
        <w:rFonts w:ascii="Arial" w:hAnsi="Arial"/>
        <w:b/>
        <w:color w:val="ffffff"/>
        <w:sz w:val="22"/>
      </w:rPr>
      <w:tcPr>
        <w:shd w:val="clear" w:color="4472c4" w:themeColor="accent5" w:fill="4472c4" w:themeFill="accent5"/>
      </w:tcPr>
    </w:tblStylePr>
    <w:tblStylePr w:type="lastCol">
      <w:rPr>
        <w:b/>
        <w:color w:val="404040"/>
      </w:rPr>
    </w:tblStylePr>
    <w:tblStylePr w:type="lastRow">
      <w:rPr>
        <w:b/>
        <w:color w:val="404040"/>
      </w:rPr>
    </w:tblStylePr>
  </w:style>
  <w:style w:type="table" w:styleId="1260" w:customStyle="1">
    <w:name w:val="List Table 4 - Accent 6"/>
    <w:basedOn w:val="1157"/>
    <w:uiPriority w:val="99"/>
    <w:pPr>
      <w:spacing w:after="0" w:line="240" w:lineRule="auto"/>
    </w:pPr>
    <w:tblPr>
      <w:tblStyleRowBandSize w:val="1"/>
      <w:tblStyleColBandSize w:val="1"/>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tblBorders>
    </w:tblPr>
    <w:tblStylePr w:type="band1Horz">
      <w:rPr>
        <w:rFonts w:ascii="Arial" w:hAnsi="Arial"/>
        <w:color w:val="404040"/>
        <w:sz w:val="22"/>
      </w:rPr>
      <w:tcPr>
        <w:shd w:val="clear" w:color="daebcf" w:themeColor="accent6" w:themeTint="40" w:fill="daebcf" w:themeFill="accent6" w:themeFillTint="40"/>
      </w:tcPr>
    </w:tblStylePr>
    <w:tblStylePr w:type="band1Vert">
      <w:rPr>
        <w:rFonts w:ascii="Arial" w:hAnsi="Arial"/>
        <w:color w:val="404040"/>
        <w:sz w:val="22"/>
      </w:rPr>
      <w:tcPr>
        <w:shd w:val="clear" w:color="daebcf" w:themeColor="accent6" w:themeTint="40" w:fill="daebcf" w:themeFill="accent6" w:themeFillTint="40"/>
      </w:tcPr>
    </w:tblStylePr>
    <w:tblStylePr w:type="firstCol">
      <w:rPr>
        <w:b/>
        <w:color w:val="404040"/>
      </w:rPr>
    </w:tblStylePr>
    <w:tblStylePr w:type="firstRow">
      <w:rPr>
        <w:rFonts w:ascii="Arial" w:hAnsi="Arial"/>
        <w:b/>
        <w:color w:val="ffffff"/>
        <w:sz w:val="22"/>
      </w:rPr>
      <w:tcPr>
        <w:shd w:val="clear" w:color="70ad47" w:themeColor="accent6" w:fill="70ad47" w:themeFill="accent6"/>
      </w:tcPr>
    </w:tblStylePr>
    <w:tblStylePr w:type="lastCol">
      <w:rPr>
        <w:b/>
        <w:color w:val="404040"/>
      </w:rPr>
    </w:tblStylePr>
    <w:tblStylePr w:type="lastRow">
      <w:rPr>
        <w:b/>
        <w:color w:val="404040"/>
      </w:rPr>
    </w:tblStylePr>
  </w:style>
  <w:style w:type="table" w:styleId="1261">
    <w:name w:val="List Table 5 Dark"/>
    <w:basedOn w:val="1157"/>
    <w:uiPriority w:val="99"/>
    <w:pPr>
      <w:spacing w:after="0" w:line="240" w:lineRule="auto"/>
    </w:pPr>
    <w:tblPr>
      <w:tblStyleRowBandSize w:val="1"/>
      <w:tblStyleColBandSize w:val="1"/>
      <w:tblBorders>
        <w:top w:val="single" w:color="7F7F7F" w:themeColor="text1" w:themeTint="80" w:sz="32" w:space="0"/>
        <w:left w:val="single" w:color="7F7F7F" w:themeColor="text1" w:themeTint="80" w:sz="32" w:space="0"/>
        <w:bottom w:val="single" w:color="7F7F7F" w:themeColor="text1" w:themeTint="80" w:sz="32" w:space="0"/>
        <w:right w:val="single" w:color="7F7F7F" w:themeColor="text1" w:themeTint="80" w:sz="32" w:space="0"/>
      </w:tblBorders>
      <w:shd w:val="clear" w:color="7f7f7f" w:themeColor="text1" w:themeTint="80" w:fill="7f7f7f" w:themeFill="text1" w:themeFillTint="80"/>
    </w:tblPr>
    <w:tblStylePr w:type="band1Horz">
      <w:tcPr>
        <w:shd w:val="clear" w:color="7f7f7f" w:themeColor="text1" w:themeTint="80" w:fill="7f7f7f" w:themeFill="text1" w:themeFillTint="80"/>
        <w:tcBorders>
          <w:top w:val="single" w:color="FFFFFF" w:themeColor="light1" w:sz="4" w:space="0"/>
          <w:bottom w:val="single" w:color="FFFFFF" w:themeColor="light1" w:sz="4" w:space="0"/>
        </w:tcBorders>
      </w:tcPr>
    </w:tblStylePr>
    <w:tblStylePr w:type="band1Vert">
      <w:tcPr>
        <w:shd w:val="clear" w:color="7f7f7f" w:themeColor="text1" w:themeTint="80" w:fill="7f7f7f" w:themeFill="text1" w:themeFillTint="80"/>
        <w:tcBorders>
          <w:left w:val="single" w:color="FFFFFF" w:themeColor="light1" w:sz="4" w:space="0"/>
          <w:right w:val="single" w:color="FFFFFF" w:themeColor="light1" w:sz="4" w:space="0"/>
        </w:tcBorders>
      </w:tcPr>
    </w:tblStylePr>
    <w:tblStylePr w:type="band2Horz">
      <w:tcPr>
        <w:shd w:val="clear" w:color="7f7f7f" w:themeColor="text1" w:themeTint="80" w:fill="7f7f7f" w:themeFill="text1" w:themeFillTint="80"/>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7F7F7F" w:themeColor="text1" w:themeTint="80" w:sz="32" w:space="0"/>
          <w:right w:val="single" w:color="FFFFFF" w:themeColor="light1" w:sz="4" w:space="0"/>
        </w:tcBorders>
      </w:tcPr>
    </w:tblStylePr>
    <w:tblStylePr w:type="firstRow">
      <w:rPr>
        <w:rFonts w:ascii="Arial" w:hAnsi="Arial"/>
        <w:b/>
        <w:color w:val="ffffff" w:themeColor="light1"/>
        <w:sz w:val="22"/>
      </w:rPr>
      <w:tcPr>
        <w:shd w:val="clear" w:color="7f7f7f" w:themeColor="text1" w:themeTint="80" w:fill="7f7f7f" w:themeFill="text1" w:themeFillTint="80"/>
        <w:tcBorders>
          <w:top w:val="single" w:color="7F7F7F" w:themeColor="text1" w:themeTint="80" w:sz="32" w:space="0"/>
          <w:bottom w:val="single" w:color="FFFFFF" w:themeColor="light1" w:sz="12" w:space="0"/>
        </w:tcBorders>
      </w:tcPr>
    </w:tblStylePr>
    <w:tblStylePr w:type="lastCol">
      <w:tcPr>
        <w:tcBorders>
          <w:left w:val="single" w:color="FFFFFF" w:themeColor="light1" w:sz="4" w:space="0"/>
          <w:right w:val="single" w:color="7F7F7F" w:themeColor="text1" w:themeTint="80" w:sz="32" w:space="0"/>
        </w:tcBorders>
      </w:tcPr>
    </w:tblStylePr>
    <w:tblStylePr w:type="lastRow">
      <w:rPr>
        <w:rFonts w:ascii="Arial" w:hAnsi="Arial"/>
        <w:b/>
        <w:color w:val="ffffff" w:themeColor="light1"/>
        <w:sz w:val="22"/>
      </w:rPr>
    </w:tblStylePr>
  </w:style>
  <w:style w:type="table" w:styleId="1262" w:customStyle="1">
    <w:name w:val="List Table 5 Dark - Accent 1"/>
    <w:basedOn w:val="1157"/>
    <w:uiPriority w:val="99"/>
    <w:pPr>
      <w:spacing w:after="0" w:line="240" w:lineRule="auto"/>
    </w:pPr>
    <w:tblPr>
      <w:tblStyleRowBandSize w:val="1"/>
      <w:tblStyleColBandSize w:val="1"/>
      <w:tblBorders>
        <w:top w:val="single" w:color="5B9BD5" w:themeColor="accent1" w:sz="32" w:space="0"/>
        <w:left w:val="single" w:color="5B9BD5" w:themeColor="accent1" w:sz="32" w:space="0"/>
        <w:bottom w:val="single" w:color="5B9BD5" w:themeColor="accent1" w:sz="32" w:space="0"/>
        <w:right w:val="single" w:color="5B9BD5" w:themeColor="accent1" w:sz="32" w:space="0"/>
      </w:tblBorders>
      <w:shd w:val="clear" w:color="5b9bd5" w:themeColor="accent1" w:fill="5b9bd5" w:themeFill="accent1"/>
    </w:tblPr>
    <w:tblStylePr w:type="band1Horz">
      <w:tcPr>
        <w:shd w:val="clear" w:color="5b9bd5" w:themeColor="accent1" w:fill="5b9bd5" w:themeFill="accent1"/>
        <w:tcBorders>
          <w:top w:val="single" w:color="FFFFFF" w:themeColor="light1" w:sz="4" w:space="0"/>
          <w:bottom w:val="single" w:color="FFFFFF" w:themeColor="light1" w:sz="4" w:space="0"/>
        </w:tcBorders>
      </w:tcPr>
    </w:tblStylePr>
    <w:tblStylePr w:type="band1Vert">
      <w:tcPr>
        <w:shd w:val="clear" w:color="5b9bd5" w:themeColor="accent1" w:fill="5b9bd5" w:themeFill="accent1"/>
        <w:tcBorders>
          <w:left w:val="single" w:color="FFFFFF" w:themeColor="light1" w:sz="4" w:space="0"/>
          <w:right w:val="single" w:color="FFFFFF" w:themeColor="light1" w:sz="4" w:space="0"/>
        </w:tcBorders>
      </w:tcPr>
    </w:tblStylePr>
    <w:tblStylePr w:type="band2Horz">
      <w:tcPr>
        <w:shd w:val="clear" w:color="5b9bd5" w:themeColor="accent1" w:fill="5b9bd5" w:themeFill="accent1"/>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5B9BD5" w:themeColor="accent1" w:sz="32" w:space="0"/>
          <w:right w:val="single" w:color="FFFFFF" w:themeColor="light1" w:sz="4" w:space="0"/>
        </w:tcBorders>
      </w:tcPr>
    </w:tblStylePr>
    <w:tblStylePr w:type="firstRow">
      <w:rPr>
        <w:rFonts w:ascii="Arial" w:hAnsi="Arial"/>
        <w:b/>
        <w:color w:val="ffffff" w:themeColor="light1"/>
        <w:sz w:val="22"/>
      </w:rPr>
      <w:tcPr>
        <w:shd w:val="clear" w:color="5b9bd5" w:themeColor="accent1" w:fill="5b9bd5" w:themeFill="accent1"/>
        <w:tcBorders>
          <w:top w:val="single" w:color="5B9BD5" w:themeColor="accent1" w:sz="32" w:space="0"/>
          <w:bottom w:val="single" w:color="FFFFFF" w:themeColor="light1" w:sz="12" w:space="0"/>
        </w:tcBorders>
      </w:tcPr>
    </w:tblStylePr>
    <w:tblStylePr w:type="lastCol">
      <w:tcPr>
        <w:tcBorders>
          <w:left w:val="single" w:color="FFFFFF" w:themeColor="light1" w:sz="4" w:space="0"/>
          <w:right w:val="single" w:color="5B9BD5" w:themeColor="accent1" w:sz="32" w:space="0"/>
        </w:tcBorders>
      </w:tcPr>
    </w:tblStylePr>
    <w:tblStylePr w:type="lastRow">
      <w:rPr>
        <w:rFonts w:ascii="Arial" w:hAnsi="Arial"/>
        <w:b/>
        <w:color w:val="ffffff" w:themeColor="light1"/>
        <w:sz w:val="22"/>
      </w:rPr>
    </w:tblStylePr>
  </w:style>
  <w:style w:type="table" w:styleId="1263" w:customStyle="1">
    <w:name w:val="List Table 5 Dark - Accent 2"/>
    <w:basedOn w:val="1157"/>
    <w:uiPriority w:val="99"/>
    <w:pPr>
      <w:spacing w:after="0" w:line="240" w:lineRule="auto"/>
    </w:pPr>
    <w:tblPr>
      <w:tblStyleRowBandSize w:val="1"/>
      <w:tblStyleColBandSize w:val="1"/>
      <w:tblBorders>
        <w:top w:val="single" w:color="F4B184" w:themeColor="accent2" w:themeTint="97" w:sz="32" w:space="0"/>
        <w:left w:val="single" w:color="F4B184" w:themeColor="accent2" w:themeTint="97" w:sz="32" w:space="0"/>
        <w:bottom w:val="single" w:color="F4B184" w:themeColor="accent2" w:themeTint="97" w:sz="32" w:space="0"/>
        <w:right w:val="single" w:color="F4B184" w:themeColor="accent2" w:themeTint="97" w:sz="32" w:space="0"/>
      </w:tblBorders>
      <w:shd w:val="clear" w:color="f4b184" w:themeColor="accent2" w:themeTint="97" w:fill="f4b184" w:themeFill="accent2" w:themeFillTint="97"/>
    </w:tblPr>
    <w:tblStylePr w:type="band1Horz">
      <w:tcPr>
        <w:shd w:val="clear" w:color="f4b184" w:themeColor="accent2" w:themeTint="97" w:fill="f4b184" w:themeFill="accent2" w:themeFillTint="97"/>
        <w:tcBorders>
          <w:top w:val="single" w:color="FFFFFF" w:themeColor="light1" w:sz="4" w:space="0"/>
          <w:bottom w:val="single" w:color="FFFFFF" w:themeColor="light1" w:sz="4" w:space="0"/>
        </w:tcBorders>
      </w:tcPr>
    </w:tblStylePr>
    <w:tblStylePr w:type="band1Vert">
      <w:tcPr>
        <w:shd w:val="clear" w:color="f4b184" w:themeColor="accent2" w:themeTint="97" w:fill="f4b184" w:themeFill="accent2" w:themeFillTint="97"/>
        <w:tcBorders>
          <w:left w:val="single" w:color="FFFFFF" w:themeColor="light1" w:sz="4" w:space="0"/>
          <w:right w:val="single" w:color="FFFFFF" w:themeColor="light1" w:sz="4" w:space="0"/>
        </w:tcBorders>
      </w:tcPr>
    </w:tblStylePr>
    <w:tblStylePr w:type="band2Horz">
      <w:tcPr>
        <w:shd w:val="clear" w:color="f4b184" w:themeColor="accent2" w:themeTint="97" w:fill="f4b184" w:themeFill="accent2" w:themeFillTint="97"/>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F4B184" w:themeColor="accent2" w:themeTint="97" w:sz="32" w:space="0"/>
          <w:right w:val="single" w:color="FFFFFF" w:themeColor="light1" w:sz="4" w:space="0"/>
        </w:tcBorders>
      </w:tcPr>
    </w:tblStylePr>
    <w:tblStylePr w:type="firstRow">
      <w:rPr>
        <w:rFonts w:ascii="Arial" w:hAnsi="Arial"/>
        <w:b/>
        <w:color w:val="ffffff" w:themeColor="light1"/>
        <w:sz w:val="22"/>
      </w:rPr>
      <w:tcPr>
        <w:shd w:val="clear" w:color="f4b184" w:themeColor="accent2" w:themeTint="97" w:fill="f4b184" w:themeFill="accent2" w:themeFillTint="97"/>
        <w:tcBorders>
          <w:top w:val="single" w:color="F4B184" w:themeColor="accent2" w:themeTint="97" w:sz="32" w:space="0"/>
          <w:bottom w:val="single" w:color="FFFFFF" w:themeColor="light1" w:sz="12" w:space="0"/>
        </w:tcBorders>
      </w:tcPr>
    </w:tblStylePr>
    <w:tblStylePr w:type="lastCol">
      <w:tcPr>
        <w:tcBorders>
          <w:left w:val="single" w:color="FFFFFF" w:themeColor="light1" w:sz="4" w:space="0"/>
          <w:right w:val="single" w:color="F4B184" w:themeColor="accent2" w:themeTint="97" w:sz="32" w:space="0"/>
        </w:tcBorders>
      </w:tcPr>
    </w:tblStylePr>
    <w:tblStylePr w:type="lastRow">
      <w:rPr>
        <w:rFonts w:ascii="Arial" w:hAnsi="Arial"/>
        <w:b/>
        <w:color w:val="ffffff" w:themeColor="light1"/>
        <w:sz w:val="22"/>
      </w:rPr>
    </w:tblStylePr>
  </w:style>
  <w:style w:type="table" w:styleId="1264" w:customStyle="1">
    <w:name w:val="List Table 5 Dark - Accent 3"/>
    <w:basedOn w:val="1157"/>
    <w:uiPriority w:val="99"/>
    <w:pPr>
      <w:spacing w:after="0" w:line="240" w:lineRule="auto"/>
    </w:pPr>
    <w:tblPr>
      <w:tblStyleRowBandSize w:val="1"/>
      <w:tblStyleColBandSize w:val="1"/>
      <w:tblBorders>
        <w:top w:val="single" w:color="C9C9C9" w:themeColor="accent3" w:themeTint="98" w:sz="32" w:space="0"/>
        <w:left w:val="single" w:color="C9C9C9" w:themeColor="accent3" w:themeTint="98" w:sz="32" w:space="0"/>
        <w:bottom w:val="single" w:color="C9C9C9" w:themeColor="accent3" w:themeTint="98" w:sz="32" w:space="0"/>
        <w:right w:val="single" w:color="C9C9C9" w:themeColor="accent3" w:themeTint="98" w:sz="32" w:space="0"/>
      </w:tblBorders>
      <w:shd w:val="clear" w:color="c9c9c9" w:themeColor="accent3" w:themeTint="98" w:fill="c9c9c9" w:themeFill="accent3" w:themeFillTint="98"/>
    </w:tblPr>
    <w:tblStylePr w:type="band1Horz">
      <w:tcPr>
        <w:shd w:val="clear" w:color="c9c9c9" w:themeColor="accent3" w:themeTint="98" w:fill="c9c9c9" w:themeFill="accent3" w:themeFillTint="98"/>
        <w:tcBorders>
          <w:top w:val="single" w:color="FFFFFF" w:themeColor="light1" w:sz="4" w:space="0"/>
          <w:bottom w:val="single" w:color="FFFFFF" w:themeColor="light1" w:sz="4" w:space="0"/>
        </w:tcBorders>
      </w:tcPr>
    </w:tblStylePr>
    <w:tblStylePr w:type="band1Vert">
      <w:tcPr>
        <w:shd w:val="clear" w:color="c9c9c9" w:themeColor="accent3" w:themeTint="98" w:fill="c9c9c9" w:themeFill="accent3" w:themeFillTint="98"/>
        <w:tcBorders>
          <w:left w:val="single" w:color="FFFFFF" w:themeColor="light1" w:sz="4" w:space="0"/>
          <w:right w:val="single" w:color="FFFFFF" w:themeColor="light1" w:sz="4" w:space="0"/>
        </w:tcBorders>
      </w:tcPr>
    </w:tblStylePr>
    <w:tblStylePr w:type="band2Horz">
      <w:tcPr>
        <w:shd w:val="clear" w:color="c9c9c9" w:themeColor="accent3" w:themeTint="98" w:fill="c9c9c9" w:themeFill="accent3" w:themeFillTint="98"/>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C9C9C9" w:themeColor="accent3" w:themeTint="98" w:sz="32" w:space="0"/>
          <w:right w:val="single" w:color="FFFFFF" w:themeColor="light1" w:sz="4" w:space="0"/>
        </w:tcBorders>
      </w:tcPr>
    </w:tblStylePr>
    <w:tblStylePr w:type="firstRow">
      <w:rPr>
        <w:rFonts w:ascii="Arial" w:hAnsi="Arial"/>
        <w:b/>
        <w:color w:val="ffffff" w:themeColor="light1"/>
        <w:sz w:val="22"/>
      </w:rPr>
      <w:tcPr>
        <w:shd w:val="clear" w:color="c9c9c9" w:themeColor="accent3" w:themeTint="98" w:fill="c9c9c9" w:themeFill="accent3" w:themeFillTint="98"/>
        <w:tcBorders>
          <w:top w:val="single" w:color="C9C9C9" w:themeColor="accent3" w:themeTint="98" w:sz="32" w:space="0"/>
          <w:bottom w:val="single" w:color="FFFFFF" w:themeColor="light1" w:sz="12" w:space="0"/>
        </w:tcBorders>
      </w:tcPr>
    </w:tblStylePr>
    <w:tblStylePr w:type="lastCol">
      <w:tcPr>
        <w:tcBorders>
          <w:left w:val="single" w:color="FFFFFF" w:themeColor="light1" w:sz="4" w:space="0"/>
          <w:right w:val="single" w:color="C9C9C9" w:themeColor="accent3" w:themeTint="98" w:sz="32" w:space="0"/>
        </w:tcBorders>
      </w:tcPr>
    </w:tblStylePr>
    <w:tblStylePr w:type="lastRow">
      <w:rPr>
        <w:rFonts w:ascii="Arial" w:hAnsi="Arial"/>
        <w:b/>
        <w:color w:val="ffffff" w:themeColor="light1"/>
        <w:sz w:val="22"/>
      </w:rPr>
    </w:tblStylePr>
  </w:style>
  <w:style w:type="table" w:styleId="1265" w:customStyle="1">
    <w:name w:val="List Table 5 Dark - Accent 4"/>
    <w:basedOn w:val="1157"/>
    <w:uiPriority w:val="99"/>
    <w:pPr>
      <w:spacing w:after="0" w:line="240" w:lineRule="auto"/>
    </w:pPr>
    <w:tblPr>
      <w:tblStyleRowBandSize w:val="1"/>
      <w:tblStyleColBandSize w:val="1"/>
      <w:tblBorders>
        <w:top w:val="single" w:color="FFD865" w:themeColor="accent4" w:themeTint="9A" w:sz="32" w:space="0"/>
        <w:left w:val="single" w:color="FFD865" w:themeColor="accent4" w:themeTint="9A" w:sz="32" w:space="0"/>
        <w:bottom w:val="single" w:color="FFD865" w:themeColor="accent4" w:themeTint="9A" w:sz="32" w:space="0"/>
        <w:right w:val="single" w:color="FFD865" w:themeColor="accent4" w:themeTint="9A" w:sz="32" w:space="0"/>
      </w:tblBorders>
      <w:shd w:val="clear" w:color="ffd865" w:themeColor="accent4" w:themeTint="9A" w:fill="ffd865" w:themeFill="accent4" w:themeFillTint="9A"/>
    </w:tblPr>
    <w:tblStylePr w:type="band1Horz">
      <w:tcPr>
        <w:shd w:val="clear" w:color="ffd865" w:themeColor="accent4" w:themeTint="9A" w:fill="ffd865" w:themeFill="accent4" w:themeFillTint="9A"/>
        <w:tcBorders>
          <w:top w:val="single" w:color="FFFFFF" w:themeColor="light1" w:sz="4" w:space="0"/>
          <w:bottom w:val="single" w:color="FFFFFF" w:themeColor="light1" w:sz="4" w:space="0"/>
        </w:tcBorders>
      </w:tcPr>
    </w:tblStylePr>
    <w:tblStylePr w:type="band1Vert">
      <w:tcPr>
        <w:shd w:val="clear" w:color="ffd865" w:themeColor="accent4" w:themeTint="9A" w:fill="ffd865" w:themeFill="accent4" w:themeFillTint="9A"/>
        <w:tcBorders>
          <w:left w:val="single" w:color="FFFFFF" w:themeColor="light1" w:sz="4" w:space="0"/>
          <w:right w:val="single" w:color="FFFFFF" w:themeColor="light1" w:sz="4" w:space="0"/>
        </w:tcBorders>
      </w:tcPr>
    </w:tblStylePr>
    <w:tblStylePr w:type="band2Horz">
      <w:tcPr>
        <w:shd w:val="clear" w:color="ffd865" w:themeColor="accent4" w:themeTint="9A" w:fill="ffd865" w:themeFill="accent4" w:themeFillTint="9A"/>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FFD865" w:themeColor="accent4" w:themeTint="9A" w:sz="32" w:space="0"/>
          <w:right w:val="single" w:color="FFFFFF" w:themeColor="light1" w:sz="4" w:space="0"/>
        </w:tcBorders>
      </w:tcPr>
    </w:tblStylePr>
    <w:tblStylePr w:type="firstRow">
      <w:rPr>
        <w:rFonts w:ascii="Arial" w:hAnsi="Arial"/>
        <w:b/>
        <w:color w:val="ffffff" w:themeColor="light1"/>
        <w:sz w:val="22"/>
      </w:rPr>
      <w:tcPr>
        <w:shd w:val="clear" w:color="ffd865" w:themeColor="accent4" w:themeTint="9A" w:fill="ffd865" w:themeFill="accent4" w:themeFillTint="9A"/>
        <w:tcBorders>
          <w:top w:val="single" w:color="FFD865" w:themeColor="accent4" w:themeTint="9A" w:sz="32" w:space="0"/>
          <w:bottom w:val="single" w:color="FFFFFF" w:themeColor="light1" w:sz="12" w:space="0"/>
        </w:tcBorders>
      </w:tcPr>
    </w:tblStylePr>
    <w:tblStylePr w:type="lastCol">
      <w:tcPr>
        <w:tcBorders>
          <w:left w:val="single" w:color="FFFFFF" w:themeColor="light1" w:sz="4" w:space="0"/>
          <w:right w:val="single" w:color="FFD865" w:themeColor="accent4" w:themeTint="9A" w:sz="32" w:space="0"/>
        </w:tcBorders>
      </w:tcPr>
    </w:tblStylePr>
    <w:tblStylePr w:type="lastRow">
      <w:rPr>
        <w:rFonts w:ascii="Arial" w:hAnsi="Arial"/>
        <w:b/>
        <w:color w:val="ffffff" w:themeColor="light1"/>
        <w:sz w:val="22"/>
      </w:rPr>
    </w:tblStylePr>
  </w:style>
  <w:style w:type="table" w:styleId="1266" w:customStyle="1">
    <w:name w:val="List Table 5 Dark - Accent 5"/>
    <w:basedOn w:val="1157"/>
    <w:uiPriority w:val="99"/>
    <w:pPr>
      <w:spacing w:after="0" w:line="240" w:lineRule="auto"/>
    </w:pPr>
    <w:tblPr>
      <w:tblStyleRowBandSize w:val="1"/>
      <w:tblStyleColBandSize w:val="1"/>
      <w:tblBorders>
        <w:top w:val="single" w:color="8DA9DB" w:themeColor="accent5" w:themeTint="9A" w:sz="32" w:space="0"/>
        <w:left w:val="single" w:color="8DA9DB" w:themeColor="accent5" w:themeTint="9A" w:sz="32" w:space="0"/>
        <w:bottom w:val="single" w:color="8DA9DB" w:themeColor="accent5" w:themeTint="9A" w:sz="32" w:space="0"/>
        <w:right w:val="single" w:color="8DA9DB" w:themeColor="accent5" w:themeTint="9A" w:sz="32" w:space="0"/>
      </w:tblBorders>
      <w:shd w:val="clear" w:color="8da9db" w:themeColor="accent5" w:themeTint="9A" w:fill="8da9db" w:themeFill="accent5" w:themeFillTint="9A"/>
    </w:tblPr>
    <w:tblStylePr w:type="band1Horz">
      <w:tcPr>
        <w:shd w:val="clear" w:color="8da9db" w:themeColor="accent5" w:themeTint="9A" w:fill="8da9db" w:themeFill="accent5" w:themeFillTint="9A"/>
        <w:tcBorders>
          <w:top w:val="single" w:color="FFFFFF" w:themeColor="light1" w:sz="4" w:space="0"/>
          <w:bottom w:val="single" w:color="FFFFFF" w:themeColor="light1" w:sz="4" w:space="0"/>
        </w:tcBorders>
      </w:tcPr>
    </w:tblStylePr>
    <w:tblStylePr w:type="band1Vert">
      <w:tcPr>
        <w:shd w:val="clear" w:color="8da9db" w:themeColor="accent5" w:themeTint="9A" w:fill="8da9db" w:themeFill="accent5" w:themeFillTint="9A"/>
        <w:tcBorders>
          <w:left w:val="single" w:color="FFFFFF" w:themeColor="light1" w:sz="4" w:space="0"/>
          <w:right w:val="single" w:color="FFFFFF" w:themeColor="light1" w:sz="4" w:space="0"/>
        </w:tcBorders>
      </w:tcPr>
    </w:tblStylePr>
    <w:tblStylePr w:type="band2Horz">
      <w:tcPr>
        <w:shd w:val="clear" w:color="8da9db" w:themeColor="accent5" w:themeTint="9A" w:fill="8da9db" w:themeFill="accent5" w:themeFillTint="9A"/>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8DA9DB" w:themeColor="accent5" w:themeTint="9A" w:sz="32" w:space="0"/>
          <w:right w:val="single" w:color="FFFFFF" w:themeColor="light1" w:sz="4" w:space="0"/>
        </w:tcBorders>
      </w:tcPr>
    </w:tblStylePr>
    <w:tblStylePr w:type="firstRow">
      <w:rPr>
        <w:rFonts w:ascii="Arial" w:hAnsi="Arial"/>
        <w:b/>
        <w:color w:val="ffffff" w:themeColor="light1"/>
        <w:sz w:val="22"/>
      </w:rPr>
      <w:tcPr>
        <w:shd w:val="clear" w:color="8da9db" w:themeColor="accent5" w:themeTint="9A" w:fill="8da9db" w:themeFill="accent5" w:themeFillTint="9A"/>
        <w:tcBorders>
          <w:top w:val="single" w:color="8DA9DB" w:themeColor="accent5" w:themeTint="9A" w:sz="32" w:space="0"/>
          <w:bottom w:val="single" w:color="FFFFFF" w:themeColor="light1" w:sz="12" w:space="0"/>
        </w:tcBorders>
      </w:tcPr>
    </w:tblStylePr>
    <w:tblStylePr w:type="lastCol">
      <w:tcPr>
        <w:tcBorders>
          <w:left w:val="single" w:color="FFFFFF" w:themeColor="light1" w:sz="4" w:space="0"/>
          <w:right w:val="single" w:color="8DA9DB" w:themeColor="accent5" w:themeTint="9A" w:sz="32" w:space="0"/>
        </w:tcBorders>
      </w:tcPr>
    </w:tblStylePr>
    <w:tblStylePr w:type="lastRow">
      <w:rPr>
        <w:rFonts w:ascii="Arial" w:hAnsi="Arial"/>
        <w:b/>
        <w:color w:val="ffffff" w:themeColor="light1"/>
        <w:sz w:val="22"/>
      </w:rPr>
    </w:tblStylePr>
  </w:style>
  <w:style w:type="table" w:styleId="1267" w:customStyle="1">
    <w:name w:val="List Table 5 Dark - Accent 6"/>
    <w:basedOn w:val="1157"/>
    <w:uiPriority w:val="99"/>
    <w:pPr>
      <w:spacing w:after="0" w:line="240" w:lineRule="auto"/>
    </w:pPr>
    <w:tblPr>
      <w:tblStyleRowBandSize w:val="1"/>
      <w:tblStyleColBandSize w:val="1"/>
      <w:tblBorders>
        <w:top w:val="single" w:color="A9D08E" w:themeColor="accent6" w:themeTint="98" w:sz="32" w:space="0"/>
        <w:left w:val="single" w:color="A9D08E" w:themeColor="accent6" w:themeTint="98" w:sz="32" w:space="0"/>
        <w:bottom w:val="single" w:color="A9D08E" w:themeColor="accent6" w:themeTint="98" w:sz="32" w:space="0"/>
        <w:right w:val="single" w:color="A9D08E" w:themeColor="accent6" w:themeTint="98" w:sz="32" w:space="0"/>
      </w:tblBorders>
      <w:shd w:val="clear" w:color="a9d08e" w:themeColor="accent6" w:themeTint="98" w:fill="a9d08e" w:themeFill="accent6" w:themeFillTint="98"/>
    </w:tblPr>
    <w:tblStylePr w:type="band1Horz">
      <w:tcPr>
        <w:shd w:val="clear" w:color="a9d08e" w:themeColor="accent6" w:themeTint="98" w:fill="a9d08e" w:themeFill="accent6" w:themeFillTint="98"/>
        <w:tcBorders>
          <w:top w:val="single" w:color="FFFFFF" w:themeColor="light1" w:sz="4" w:space="0"/>
          <w:bottom w:val="single" w:color="FFFFFF" w:themeColor="light1" w:sz="4" w:space="0"/>
        </w:tcBorders>
      </w:tcPr>
    </w:tblStylePr>
    <w:tblStylePr w:type="band1Vert">
      <w:tcPr>
        <w:shd w:val="clear" w:color="a9d08e" w:themeColor="accent6" w:themeTint="98" w:fill="a9d08e" w:themeFill="accent6" w:themeFillTint="98"/>
        <w:tcBorders>
          <w:left w:val="single" w:color="FFFFFF" w:themeColor="light1" w:sz="4" w:space="0"/>
          <w:right w:val="single" w:color="FFFFFF" w:themeColor="light1" w:sz="4" w:space="0"/>
        </w:tcBorders>
      </w:tcPr>
    </w:tblStylePr>
    <w:tblStylePr w:type="band2Horz">
      <w:tcPr>
        <w:shd w:val="clear" w:color="a9d08e" w:themeColor="accent6" w:themeTint="98" w:fill="a9d08e" w:themeFill="accent6" w:themeFillTint="98"/>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A9D08E" w:themeColor="accent6" w:themeTint="98" w:sz="32" w:space="0"/>
          <w:right w:val="single" w:color="FFFFFF" w:themeColor="light1" w:sz="4" w:space="0"/>
        </w:tcBorders>
      </w:tcPr>
    </w:tblStylePr>
    <w:tblStylePr w:type="firstRow">
      <w:rPr>
        <w:rFonts w:ascii="Arial" w:hAnsi="Arial"/>
        <w:b/>
        <w:color w:val="ffffff" w:themeColor="light1"/>
        <w:sz w:val="22"/>
      </w:rPr>
      <w:tcPr>
        <w:shd w:val="clear" w:color="a9d08e" w:themeColor="accent6" w:themeTint="98" w:fill="a9d08e" w:themeFill="accent6" w:themeFillTint="98"/>
        <w:tcBorders>
          <w:top w:val="single" w:color="A9D08E" w:themeColor="accent6" w:themeTint="98" w:sz="32" w:space="0"/>
          <w:bottom w:val="single" w:color="FFFFFF" w:themeColor="light1" w:sz="12" w:space="0"/>
        </w:tcBorders>
      </w:tcPr>
    </w:tblStylePr>
    <w:tblStylePr w:type="lastCol">
      <w:tcPr>
        <w:tcBorders>
          <w:left w:val="single" w:color="FFFFFF" w:themeColor="light1" w:sz="4" w:space="0"/>
          <w:right w:val="single" w:color="A9D08E" w:themeColor="accent6" w:themeTint="98" w:sz="32" w:space="0"/>
        </w:tcBorders>
      </w:tcPr>
    </w:tblStylePr>
    <w:tblStylePr w:type="lastRow">
      <w:rPr>
        <w:rFonts w:ascii="Arial" w:hAnsi="Arial"/>
        <w:b/>
        <w:color w:val="ffffff" w:themeColor="light1"/>
        <w:sz w:val="22"/>
      </w:rPr>
    </w:tblStylePr>
  </w:style>
  <w:style w:type="table" w:styleId="1268">
    <w:name w:val="List Table 6 Colorful"/>
    <w:basedOn w:val="1157"/>
    <w:uiPriority w:val="99"/>
    <w:pPr>
      <w:spacing w:after="0" w:line="240" w:lineRule="auto"/>
    </w:pPr>
    <w:tblPr>
      <w:tblStyleRowBandSize w:val="1"/>
      <w:tblStyleColBandSize w:val="1"/>
      <w:tblBorders>
        <w:top w:val="single" w:color="7F7F7F" w:themeColor="text1" w:themeTint="80" w:sz="4" w:space="0"/>
        <w:bottom w:val="single" w:color="7F7F7F" w:themeColor="text1" w:themeTint="80" w:sz="4" w:space="0"/>
      </w:tblBorders>
    </w:tblPr>
    <w:tblStylePr w:type="band1Horz">
      <w:rPr>
        <w:rFonts w:ascii="Arial" w:hAnsi="Arial"/>
        <w:color w:val="000000" w:themeColor="text1"/>
        <w:sz w:val="22"/>
      </w:rPr>
      <w:tcPr>
        <w:shd w:val="clear" w:color="bfbfbf" w:themeColor="text1" w:themeTint="40" w:fill="bfbfbf" w:themeFill="text1" w:themeFillTint="40"/>
      </w:tcPr>
    </w:tblStylePr>
    <w:tblStylePr w:type="band1Vert">
      <w:tcPr>
        <w:shd w:val="clear" w:color="bfbfbf" w:themeColor="text1" w:themeTint="40" w:fill="bfbfbf" w:themeFill="text1" w:themeFillTint="40"/>
      </w:tcPr>
    </w:tblStylePr>
    <w:tblStylePr w:type="band2Horz">
      <w:rPr>
        <w:rFonts w:ascii="Arial" w:hAnsi="Arial"/>
        <w:color w:val="000000" w:themeColor="text1"/>
        <w:sz w:val="22"/>
      </w:rPr>
    </w:tblStylePr>
    <w:tblStylePr w:type="firstCol">
      <w:rPr>
        <w:b/>
        <w:color w:val="000000" w:themeColor="text1"/>
      </w:rPr>
    </w:tblStylePr>
    <w:tblStylePr w:type="firstRow">
      <w:rPr>
        <w:b/>
        <w:color w:val="000000" w:themeColor="text1"/>
      </w:rPr>
      <w:tcPr>
        <w:tcBorders>
          <w:bottom w:val="single" w:color="7F7F7F" w:themeColor="text1" w:themeTint="80" w:sz="4" w:space="0"/>
        </w:tcBorders>
      </w:tcPr>
    </w:tblStylePr>
    <w:tblStylePr w:type="lastCol">
      <w:rPr>
        <w:b/>
        <w:color w:val="000000" w:themeColor="text1"/>
      </w:rPr>
    </w:tblStylePr>
    <w:tblStylePr w:type="lastRow">
      <w:rPr>
        <w:b/>
        <w:color w:val="000000" w:themeColor="text1"/>
      </w:rPr>
      <w:tcPr>
        <w:tcBorders>
          <w:top w:val="single" w:color="7F7F7F" w:themeColor="text1" w:themeTint="80" w:sz="4" w:space="0"/>
        </w:tcBorders>
      </w:tcPr>
    </w:tblStylePr>
  </w:style>
  <w:style w:type="table" w:styleId="1269" w:customStyle="1">
    <w:name w:val="List Table 6 Colorful - Accent 1"/>
    <w:basedOn w:val="1157"/>
    <w:uiPriority w:val="99"/>
    <w:pPr>
      <w:spacing w:after="0" w:line="240" w:lineRule="auto"/>
    </w:pPr>
    <w:tblPr>
      <w:tblStyleRowBandSize w:val="1"/>
      <w:tblStyleColBandSize w:val="1"/>
      <w:tblBorders>
        <w:top w:val="single" w:color="5B9BD5" w:themeColor="accent1" w:sz="4" w:space="0"/>
        <w:bottom w:val="single" w:color="5B9BD5" w:themeColor="accent1" w:sz="4" w:space="0"/>
      </w:tblBorders>
    </w:tblPr>
    <w:tblStylePr w:type="band1Horz">
      <w:rPr>
        <w:rFonts w:ascii="Arial" w:hAnsi="Arial"/>
        <w:color w:val="245a8d" w:themeColor="accent1" w:themeShade="95"/>
        <w:sz w:val="22"/>
      </w:rPr>
      <w:tcPr>
        <w:shd w:val="clear" w:color="d5e5f4" w:themeColor="accent1" w:themeTint="40" w:fill="d5e5f4" w:themeFill="accent1" w:themeFillTint="40"/>
      </w:tcPr>
    </w:tblStylePr>
    <w:tblStylePr w:type="band1Vert">
      <w:tcPr>
        <w:shd w:val="clear" w:color="d5e5f4" w:themeColor="accent1" w:themeTint="40" w:fill="d5e5f4" w:themeFill="accent1" w:themeFillTint="40"/>
      </w:tcPr>
    </w:tblStylePr>
    <w:tblStylePr w:type="band2Horz">
      <w:rPr>
        <w:rFonts w:ascii="Arial" w:hAnsi="Arial"/>
        <w:color w:val="245a8d" w:themeColor="accent1" w:themeShade="95"/>
        <w:sz w:val="22"/>
      </w:rPr>
    </w:tblStylePr>
    <w:tblStylePr w:type="firstCol">
      <w:rPr>
        <w:b/>
        <w:color w:val="245a8d" w:themeColor="accent1" w:themeShade="95"/>
      </w:rPr>
    </w:tblStylePr>
    <w:tblStylePr w:type="firstRow">
      <w:rPr>
        <w:b/>
        <w:color w:val="245a8d" w:themeColor="accent1" w:themeShade="95"/>
      </w:rPr>
      <w:tcPr>
        <w:tcBorders>
          <w:bottom w:val="single" w:color="5B9BD5" w:themeColor="accent1" w:sz="4" w:space="0"/>
        </w:tcBorders>
      </w:tcPr>
    </w:tblStylePr>
    <w:tblStylePr w:type="lastCol">
      <w:rPr>
        <w:b/>
        <w:color w:val="245a8d" w:themeColor="accent1" w:themeShade="95"/>
      </w:rPr>
    </w:tblStylePr>
    <w:tblStylePr w:type="lastRow">
      <w:rPr>
        <w:b/>
        <w:color w:val="245a8d" w:themeColor="accent1" w:themeShade="95"/>
      </w:rPr>
      <w:tcPr>
        <w:tcBorders>
          <w:top w:val="single" w:color="5B9BD5" w:themeColor="accent1" w:sz="4" w:space="0"/>
        </w:tcBorders>
      </w:tcPr>
    </w:tblStylePr>
  </w:style>
  <w:style w:type="table" w:styleId="1270" w:customStyle="1">
    <w:name w:val="List Table 6 Colorful - Accent 2"/>
    <w:basedOn w:val="1157"/>
    <w:uiPriority w:val="99"/>
    <w:pPr>
      <w:spacing w:after="0" w:line="240" w:lineRule="auto"/>
    </w:pPr>
    <w:tblPr>
      <w:tblStyleRowBandSize w:val="1"/>
      <w:tblStyleColBandSize w:val="1"/>
      <w:tblBorders>
        <w:top w:val="single" w:color="F4B184" w:themeColor="accent2" w:themeTint="97" w:sz="4" w:space="0"/>
        <w:bottom w:val="single" w:color="F4B184" w:themeColor="accent2" w:themeTint="97" w:sz="4" w:space="0"/>
      </w:tblBorders>
    </w:tblPr>
    <w:tblStylePr w:type="band1Horz">
      <w:rPr>
        <w:rFonts w:ascii="Arial" w:hAnsi="Arial"/>
        <w:color w:val="f4b184" w:themeColor="accent2" w:themeTint="97" w:themeShade="95"/>
        <w:sz w:val="22"/>
      </w:rPr>
      <w:tcPr>
        <w:shd w:val="clear" w:color="fadecb" w:themeColor="accent2" w:themeTint="40" w:fill="fadecb" w:themeFill="accent2" w:themeFillTint="40"/>
      </w:tcPr>
    </w:tblStylePr>
    <w:tblStylePr w:type="band1Vert">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tblStylePr w:type="firstCol">
      <w:rPr>
        <w:b/>
        <w:color w:val="f4b184" w:themeColor="accent2" w:themeTint="97" w:themeShade="95"/>
      </w:rPr>
    </w:tblStylePr>
    <w:tblStylePr w:type="firstRow">
      <w:rPr>
        <w:b/>
        <w:color w:val="f4b184" w:themeColor="accent2" w:themeTint="97" w:themeShade="95"/>
      </w:rPr>
      <w:tcPr>
        <w:tcBorders>
          <w:bottom w:val="single" w:color="F4B184" w:themeColor="accent2" w:themeTint="97" w:sz="4" w:space="0"/>
        </w:tcBorders>
      </w:tcPr>
    </w:tblStylePr>
    <w:tblStylePr w:type="lastCol">
      <w:rPr>
        <w:b/>
        <w:color w:val="f4b184" w:themeColor="accent2" w:themeTint="97" w:themeShade="95"/>
      </w:rPr>
    </w:tblStylePr>
    <w:tblStylePr w:type="lastRow">
      <w:rPr>
        <w:b/>
        <w:color w:val="f4b184" w:themeColor="accent2" w:themeTint="97" w:themeShade="95"/>
      </w:rPr>
      <w:tcPr>
        <w:tcBorders>
          <w:top w:val="single" w:color="F4B184" w:themeColor="accent2" w:themeTint="97" w:sz="4" w:space="0"/>
        </w:tcBorders>
      </w:tcPr>
    </w:tblStylePr>
  </w:style>
  <w:style w:type="table" w:styleId="1271" w:customStyle="1">
    <w:name w:val="List Table 6 Colorful - Accent 3"/>
    <w:basedOn w:val="1157"/>
    <w:uiPriority w:val="99"/>
    <w:pPr>
      <w:spacing w:after="0" w:line="240" w:lineRule="auto"/>
    </w:pPr>
    <w:tblPr>
      <w:tblStyleRowBandSize w:val="1"/>
      <w:tblStyleColBandSize w:val="1"/>
      <w:tblBorders>
        <w:top w:val="single" w:color="C9C9C9" w:themeColor="accent3" w:themeTint="98" w:sz="4" w:space="0"/>
        <w:bottom w:val="single" w:color="C9C9C9" w:themeColor="accent3" w:themeTint="98" w:sz="4" w:space="0"/>
      </w:tblBorders>
    </w:tblPr>
    <w:tblStylePr w:type="band1Horz">
      <w:rPr>
        <w:rFonts w:ascii="Arial" w:hAnsi="Arial"/>
        <w:color w:val="c9c9c9" w:themeColor="accent3" w:themeTint="98" w:themeShade="95"/>
        <w:sz w:val="22"/>
      </w:rPr>
      <w:tcPr>
        <w:shd w:val="clear" w:color="e8e8e8" w:themeColor="accent3" w:themeTint="40" w:fill="e8e8e8" w:themeFill="accent3" w:themeFillTint="40"/>
      </w:tcPr>
    </w:tblStylePr>
    <w:tblStylePr w:type="band1Vert">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tblStylePr w:type="firstCol">
      <w:rPr>
        <w:b/>
        <w:color w:val="c9c9c9" w:themeColor="accent3" w:themeTint="98" w:themeShade="95"/>
      </w:rPr>
    </w:tblStylePr>
    <w:tblStylePr w:type="firstRow">
      <w:rPr>
        <w:b/>
        <w:color w:val="c9c9c9" w:themeColor="accent3" w:themeTint="98" w:themeShade="95"/>
      </w:rPr>
      <w:tcPr>
        <w:tcBorders>
          <w:bottom w:val="single" w:color="C9C9C9" w:themeColor="accent3" w:themeTint="98" w:sz="4" w:space="0"/>
        </w:tcBorders>
      </w:tcPr>
    </w:tblStylePr>
    <w:tblStylePr w:type="lastCol">
      <w:rPr>
        <w:b/>
        <w:color w:val="c9c9c9" w:themeColor="accent3" w:themeTint="98" w:themeShade="95"/>
      </w:rPr>
    </w:tblStylePr>
    <w:tblStylePr w:type="lastRow">
      <w:rPr>
        <w:b/>
        <w:color w:val="c9c9c9" w:themeColor="accent3" w:themeTint="98" w:themeShade="95"/>
      </w:rPr>
      <w:tcPr>
        <w:tcBorders>
          <w:top w:val="single" w:color="C9C9C9" w:themeColor="accent3" w:themeTint="98" w:sz="4" w:space="0"/>
        </w:tcBorders>
      </w:tcPr>
    </w:tblStylePr>
  </w:style>
  <w:style w:type="table" w:styleId="1272" w:customStyle="1">
    <w:name w:val="List Table 6 Colorful - Accent 4"/>
    <w:basedOn w:val="1157"/>
    <w:uiPriority w:val="99"/>
    <w:pPr>
      <w:spacing w:after="0" w:line="240" w:lineRule="auto"/>
    </w:pPr>
    <w:tblPr>
      <w:tblStyleRowBandSize w:val="1"/>
      <w:tblStyleColBandSize w:val="1"/>
      <w:tblBorders>
        <w:top w:val="single" w:color="FFD865" w:themeColor="accent4" w:themeTint="9A" w:sz="4" w:space="0"/>
        <w:bottom w:val="single" w:color="FFD865" w:themeColor="accent4" w:themeTint="9A" w:sz="4" w:space="0"/>
      </w:tblBorders>
    </w:tblPr>
    <w:tblStylePr w:type="band1Horz">
      <w:rPr>
        <w:rFonts w:ascii="Arial" w:hAnsi="Arial"/>
        <w:color w:val="ffd865" w:themeColor="accent4" w:themeTint="9A" w:themeShade="95"/>
        <w:sz w:val="22"/>
      </w:rPr>
      <w:tcPr>
        <w:shd w:val="clear" w:color="ffefbf" w:themeColor="accent4" w:themeTint="40" w:fill="ffefbf" w:themeFill="accent4" w:themeFillTint="40"/>
      </w:tcPr>
    </w:tblStylePr>
    <w:tblStylePr w:type="band1Vert">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tblStylePr w:type="firstCol">
      <w:rPr>
        <w:b/>
        <w:color w:val="ffd865" w:themeColor="accent4" w:themeTint="9A" w:themeShade="95"/>
      </w:rPr>
    </w:tblStylePr>
    <w:tblStylePr w:type="firstRow">
      <w:rPr>
        <w:b/>
        <w:color w:val="ffd865" w:themeColor="accent4" w:themeTint="9A" w:themeShade="95"/>
      </w:rPr>
      <w:tcPr>
        <w:tcBorders>
          <w:bottom w:val="single" w:color="FFD865" w:themeColor="accent4" w:themeTint="9A" w:sz="4" w:space="0"/>
        </w:tcBorders>
      </w:tcPr>
    </w:tblStylePr>
    <w:tblStylePr w:type="lastCol">
      <w:rPr>
        <w:b/>
        <w:color w:val="ffd865" w:themeColor="accent4" w:themeTint="9A" w:themeShade="95"/>
      </w:rPr>
    </w:tblStylePr>
    <w:tblStylePr w:type="lastRow">
      <w:rPr>
        <w:b/>
        <w:color w:val="ffd865" w:themeColor="accent4" w:themeTint="9A" w:themeShade="95"/>
      </w:rPr>
      <w:tcPr>
        <w:tcBorders>
          <w:top w:val="single" w:color="FFD865" w:themeColor="accent4" w:themeTint="9A" w:sz="4" w:space="0"/>
        </w:tcBorders>
      </w:tcPr>
    </w:tblStylePr>
  </w:style>
  <w:style w:type="table" w:styleId="1273" w:customStyle="1">
    <w:name w:val="List Table 6 Colorful - Accent 5"/>
    <w:basedOn w:val="1157"/>
    <w:uiPriority w:val="99"/>
    <w:pPr>
      <w:spacing w:after="0" w:line="240" w:lineRule="auto"/>
    </w:pPr>
    <w:tblPr>
      <w:tblStyleRowBandSize w:val="1"/>
      <w:tblStyleColBandSize w:val="1"/>
      <w:tblBorders>
        <w:top w:val="single" w:color="8DA9DB" w:themeColor="accent5" w:themeTint="9A" w:sz="4" w:space="0"/>
        <w:bottom w:val="single" w:color="8DA9DB" w:themeColor="accent5" w:themeTint="9A" w:sz="4" w:space="0"/>
      </w:tblBorders>
    </w:tblPr>
    <w:tblStylePr w:type="band1Horz">
      <w:rPr>
        <w:rFonts w:ascii="Arial" w:hAnsi="Arial"/>
        <w:color w:val="8da9db" w:themeColor="accent5" w:themeTint="9A" w:themeShade="95"/>
        <w:sz w:val="22"/>
      </w:rPr>
      <w:tcPr>
        <w:shd w:val="clear" w:color="cfdbf0" w:themeColor="accent5" w:themeTint="40" w:fill="cfdbf0" w:themeFill="accent5" w:themeFillTint="40"/>
      </w:tcPr>
    </w:tblStylePr>
    <w:tblStylePr w:type="band1Vert">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tblStylePr w:type="firstCol">
      <w:rPr>
        <w:b/>
        <w:color w:val="8da9db" w:themeColor="accent5" w:themeTint="9A" w:themeShade="95"/>
      </w:rPr>
    </w:tblStylePr>
    <w:tblStylePr w:type="firstRow">
      <w:rPr>
        <w:b/>
        <w:color w:val="8da9db" w:themeColor="accent5" w:themeTint="9A" w:themeShade="95"/>
      </w:rPr>
      <w:tcPr>
        <w:tcBorders>
          <w:bottom w:val="single" w:color="8DA9DB" w:themeColor="accent5" w:themeTint="9A" w:sz="4" w:space="0"/>
        </w:tcBorders>
      </w:tcPr>
    </w:tblStylePr>
    <w:tblStylePr w:type="lastCol">
      <w:rPr>
        <w:b/>
        <w:color w:val="8da9db" w:themeColor="accent5" w:themeTint="9A" w:themeShade="95"/>
      </w:rPr>
    </w:tblStylePr>
    <w:tblStylePr w:type="lastRow">
      <w:rPr>
        <w:b/>
        <w:color w:val="8da9db" w:themeColor="accent5" w:themeTint="9A" w:themeShade="95"/>
      </w:rPr>
      <w:tcPr>
        <w:tcBorders>
          <w:top w:val="single" w:color="8DA9DB" w:themeColor="accent5" w:themeTint="9A" w:sz="4" w:space="0"/>
        </w:tcBorders>
      </w:tcPr>
    </w:tblStylePr>
  </w:style>
  <w:style w:type="table" w:styleId="1274" w:customStyle="1">
    <w:name w:val="List Table 6 Colorful - Accent 6"/>
    <w:basedOn w:val="1157"/>
    <w:uiPriority w:val="99"/>
    <w:pPr>
      <w:spacing w:after="0" w:line="240" w:lineRule="auto"/>
    </w:pPr>
    <w:tblPr>
      <w:tblStyleRowBandSize w:val="1"/>
      <w:tblStyleColBandSize w:val="1"/>
      <w:tblBorders>
        <w:top w:val="single" w:color="A9D08E" w:themeColor="accent6" w:themeTint="98" w:sz="4" w:space="0"/>
        <w:bottom w:val="single" w:color="A9D08E" w:themeColor="accent6" w:themeTint="98" w:sz="4" w:space="0"/>
      </w:tblBorders>
    </w:tblPr>
    <w:tblStylePr w:type="band1Horz">
      <w:rPr>
        <w:rFonts w:ascii="Arial" w:hAnsi="Arial"/>
        <w:color w:val="a9d08e" w:themeColor="accent6" w:themeTint="98" w:themeShade="95"/>
        <w:sz w:val="22"/>
      </w:rPr>
      <w:tcPr>
        <w:shd w:val="clear" w:color="daebcf" w:themeColor="accent6" w:themeTint="40" w:fill="daebcf" w:themeFill="accent6" w:themeFillTint="40"/>
      </w:tcPr>
    </w:tblStylePr>
    <w:tblStylePr w:type="band1Vert">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tblStylePr w:type="firstCol">
      <w:rPr>
        <w:b/>
        <w:color w:val="a9d08e" w:themeColor="accent6" w:themeTint="98" w:themeShade="95"/>
      </w:rPr>
    </w:tblStylePr>
    <w:tblStylePr w:type="firstRow">
      <w:rPr>
        <w:b/>
        <w:color w:val="a9d08e" w:themeColor="accent6" w:themeTint="98" w:themeShade="95"/>
      </w:rPr>
      <w:tcPr>
        <w:tcBorders>
          <w:bottom w:val="single" w:color="A9D08E" w:themeColor="accent6" w:themeTint="98" w:sz="4" w:space="0"/>
        </w:tcBorders>
      </w:tcPr>
    </w:tblStylePr>
    <w:tblStylePr w:type="lastCol">
      <w:rPr>
        <w:b/>
        <w:color w:val="a9d08e" w:themeColor="accent6" w:themeTint="98" w:themeShade="95"/>
      </w:rPr>
    </w:tblStylePr>
    <w:tblStylePr w:type="lastRow">
      <w:rPr>
        <w:b/>
        <w:color w:val="a9d08e" w:themeColor="accent6" w:themeTint="98" w:themeShade="95"/>
      </w:rPr>
      <w:tcPr>
        <w:tcBorders>
          <w:top w:val="single" w:color="A9D08E" w:themeColor="accent6" w:themeTint="98" w:sz="4" w:space="0"/>
        </w:tcBorders>
      </w:tcPr>
    </w:tblStylePr>
  </w:style>
  <w:style w:type="table" w:styleId="1275">
    <w:name w:val="List Table 7 Colorful"/>
    <w:basedOn w:val="1157"/>
    <w:uiPriority w:val="99"/>
    <w:pPr>
      <w:spacing w:after="0" w:line="240" w:lineRule="auto"/>
    </w:pPr>
    <w:tblPr>
      <w:tblStyleRowBandSize w:val="1"/>
      <w:tblStyleColBandSize w:val="1"/>
      <w:tblBorders>
        <w:right w:val="single" w:color="7F7F7F" w:themeColor="text1" w:themeTint="80" w:sz="4" w:space="0"/>
      </w:tblBorders>
    </w:tblPr>
    <w:tblStylePr w:type="band1Horz">
      <w:rPr>
        <w:rFonts w:ascii="Arial" w:hAnsi="Arial"/>
        <w:color w:val="7f7f7f" w:themeColor="text1" w:themeTint="80" w:themeShade="95"/>
        <w:sz w:val="22"/>
      </w:rPr>
      <w:tcPr>
        <w:shd w:val="clear" w:color="bfbfbf" w:themeColor="text1" w:themeTint="40" w:fill="bfbfbf" w:themeFill="text1" w:themeFillTint="40"/>
      </w:tcPr>
    </w:tblStylePr>
    <w:tblStylePr w:type="band1Vert">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tblStylePr w:type="firstCol">
      <w:rPr>
        <w:rFonts w:ascii="Arial" w:hAnsi="Arial"/>
        <w:i/>
        <w:color w:val="7f7f7f" w:themeColor="text1" w:themeTint="80" w:themeShade="95"/>
        <w:sz w:val="22"/>
      </w:rPr>
      <w:pPr>
        <w:jc w:val="right"/>
      </w:pPr>
      <w:tcPr>
        <w:shd w:val="clear" w:color="ffffff" w:fill="auto"/>
        <w:tcBorders>
          <w:top w:val="none" w:color="000000" w:sz="4" w:space="0"/>
          <w:left w:val="none" w:color="000000" w:sz="4" w:space="0"/>
          <w:bottom w:val="none" w:color="000000" w:sz="4" w:space="0"/>
          <w:right w:val="single" w:color="7F7F7F" w:themeColor="text1" w:themeTint="80" w:sz="4" w:space="0"/>
        </w:tcBorders>
      </w:tcPr>
    </w:tblStylePr>
    <w:tblStylePr w:type="firstRow">
      <w:rPr>
        <w:rFonts w:ascii="Arial" w:hAnsi="Arial"/>
        <w:i/>
        <w:color w:val="7f7f7f" w:themeColor="text1" w:themeTint="80" w:themeShade="95"/>
        <w:sz w:val="22"/>
      </w:rPr>
      <w:tcPr>
        <w:shd w:val="clear" w:color="ffffff" w:themeColor="light1" w:fill="ffffff" w:themeFill="light1"/>
        <w:tcBorders>
          <w:top w:val="none" w:color="000000" w:sz="4" w:space="0"/>
          <w:left w:val="none" w:color="000000" w:sz="4" w:space="0"/>
          <w:bottom w:val="single" w:color="7F7F7F" w:themeColor="text1" w:themeTint="80" w:sz="4" w:space="0"/>
          <w:right w:val="none" w:color="000000" w:sz="4" w:space="0"/>
        </w:tcBorders>
      </w:tcPr>
    </w:tblStylePr>
    <w:tblStylePr w:type="lastCol">
      <w:rPr>
        <w:rFonts w:ascii="Arial" w:hAnsi="Arial"/>
        <w:i/>
        <w:color w:val="7f7f7f" w:themeColor="text1" w:themeTint="80" w:themeShade="95"/>
        <w:sz w:val="22"/>
      </w:rPr>
      <w:tcPr>
        <w:shd w:val="clear" w:color="ffffff" w:fill="auto"/>
        <w:tcBorders>
          <w:top w:val="none" w:color="000000" w:sz="4" w:space="0"/>
          <w:left w:val="single" w:color="7F7F7F" w:themeColor="text1" w:themeTint="80" w:sz="4" w:space="0"/>
          <w:bottom w:val="none" w:color="000000" w:sz="4" w:space="0"/>
          <w:right w:val="none" w:color="000000" w:sz="4" w:space="0"/>
        </w:tcBorders>
      </w:tcPr>
    </w:tblStylePr>
    <w:tblStylePr w:type="lastRow">
      <w:rPr>
        <w:rFonts w:ascii="Arial" w:hAnsi="Arial"/>
        <w:i/>
        <w:color w:val="7f7f7f" w:themeColor="text1" w:themeTint="80" w:themeShade="95"/>
        <w:sz w:val="22"/>
      </w:rPr>
      <w:tcPr>
        <w:shd w:val="clear" w:color="ffffff" w:themeColor="light1" w:fill="ffffff" w:themeFill="light1"/>
        <w:tcBorders>
          <w:top w:val="single" w:color="7F7F7F" w:themeColor="text1" w:themeTint="80" w:sz="4" w:space="0"/>
          <w:left w:val="none" w:color="000000" w:sz="4" w:space="0"/>
          <w:bottom w:val="none" w:color="000000" w:sz="4" w:space="0"/>
          <w:right w:val="none" w:color="000000" w:sz="4" w:space="0"/>
        </w:tcBorders>
      </w:tcPr>
    </w:tblStylePr>
  </w:style>
  <w:style w:type="table" w:styleId="1276" w:customStyle="1">
    <w:name w:val="List Table 7 Colorful - Accent 1"/>
    <w:basedOn w:val="1157"/>
    <w:uiPriority w:val="99"/>
    <w:pPr>
      <w:spacing w:after="0" w:line="240" w:lineRule="auto"/>
    </w:pPr>
    <w:tblPr>
      <w:tblStyleRowBandSize w:val="1"/>
      <w:tblStyleColBandSize w:val="1"/>
      <w:tblBorders>
        <w:right w:val="single" w:color="5B9BD5" w:themeColor="accent1" w:sz="4" w:space="0"/>
      </w:tblBorders>
    </w:tblPr>
    <w:tblStylePr w:type="band1Horz">
      <w:rPr>
        <w:rFonts w:ascii="Arial" w:hAnsi="Arial"/>
        <w:color w:val="245a8d" w:themeColor="accent1" w:themeShade="95"/>
        <w:sz w:val="22"/>
      </w:rPr>
      <w:tcPr>
        <w:shd w:val="clear" w:color="d5e5f4" w:themeColor="accent1" w:themeTint="40" w:fill="d5e5f4" w:themeFill="accent1" w:themeFillTint="40"/>
      </w:tcPr>
    </w:tblStylePr>
    <w:tblStylePr w:type="band1Vert">
      <w:tcPr>
        <w:shd w:val="clear" w:color="d5e5f4" w:themeColor="accent1" w:themeTint="40" w:fill="d5e5f4" w:themeFill="accent1" w:themeFillTint="40"/>
      </w:tcPr>
    </w:tblStylePr>
    <w:tblStylePr w:type="band2Horz">
      <w:rPr>
        <w:rFonts w:ascii="Arial" w:hAnsi="Arial"/>
        <w:color w:val="245a8d" w:themeColor="accent1" w:themeShade="95"/>
        <w:sz w:val="22"/>
      </w:rPr>
    </w:tblStylePr>
    <w:tblStylePr w:type="firstCol">
      <w:rPr>
        <w:rFonts w:ascii="Arial" w:hAnsi="Arial"/>
        <w:i/>
        <w:color w:val="245a8d" w:themeColor="accent1" w:themeShade="95"/>
        <w:sz w:val="22"/>
      </w:rPr>
      <w:pPr>
        <w:jc w:val="right"/>
      </w:pPr>
      <w:tcPr>
        <w:shd w:val="clear" w:color="ffffff" w:fill="auto"/>
        <w:tcBorders>
          <w:top w:val="none" w:color="000000" w:sz="4" w:space="0"/>
          <w:left w:val="none" w:color="000000" w:sz="4" w:space="0"/>
          <w:bottom w:val="none" w:color="000000" w:sz="4" w:space="0"/>
          <w:right w:val="single" w:color="5B9BD5" w:themeColor="accent1" w:sz="4" w:space="0"/>
        </w:tcBorders>
      </w:tcPr>
    </w:tblStylePr>
    <w:tblStylePr w:type="firstRow">
      <w:rPr>
        <w:rFonts w:ascii="Arial" w:hAnsi="Arial"/>
        <w:i/>
        <w:color w:val="245a8d" w:themeColor="accent1" w:themeShade="95"/>
        <w:sz w:val="22"/>
      </w:rPr>
      <w:tcPr>
        <w:shd w:val="clear" w:color="ffffff" w:themeColor="light1" w:fill="ffffff" w:themeFill="light1"/>
        <w:tcBorders>
          <w:top w:val="none" w:color="000000" w:sz="4" w:space="0"/>
          <w:left w:val="none" w:color="000000" w:sz="4" w:space="0"/>
          <w:bottom w:val="single" w:color="5B9BD5" w:themeColor="accent1" w:sz="4" w:space="0"/>
          <w:right w:val="none" w:color="000000" w:sz="4" w:space="0"/>
        </w:tcBorders>
      </w:tcPr>
    </w:tblStylePr>
    <w:tblStylePr w:type="lastCol">
      <w:rPr>
        <w:rFonts w:ascii="Arial" w:hAnsi="Arial"/>
        <w:i/>
        <w:color w:val="245a8d" w:themeColor="accent1" w:themeShade="95"/>
        <w:sz w:val="22"/>
      </w:rPr>
      <w:tcPr>
        <w:shd w:val="clear" w:color="ffffff" w:fill="auto"/>
        <w:tcBorders>
          <w:top w:val="none" w:color="000000" w:sz="4" w:space="0"/>
          <w:left w:val="single" w:color="5B9BD5" w:themeColor="accent1" w:sz="4" w:space="0"/>
          <w:bottom w:val="none" w:color="000000" w:sz="4" w:space="0"/>
          <w:right w:val="none" w:color="000000" w:sz="4" w:space="0"/>
        </w:tcBorders>
      </w:tcPr>
    </w:tblStylePr>
    <w:tblStylePr w:type="lastRow">
      <w:rPr>
        <w:rFonts w:ascii="Arial" w:hAnsi="Arial"/>
        <w:i/>
        <w:color w:val="245a8d" w:themeColor="accent1" w:themeShade="95"/>
        <w:sz w:val="22"/>
      </w:rPr>
      <w:tcPr>
        <w:shd w:val="clear" w:color="ffffff" w:themeColor="light1" w:fill="ffffff" w:themeFill="light1"/>
        <w:tcBorders>
          <w:top w:val="single" w:color="5B9BD5" w:themeColor="accent1" w:sz="4" w:space="0"/>
          <w:left w:val="none" w:color="000000" w:sz="4" w:space="0"/>
          <w:bottom w:val="none" w:color="000000" w:sz="4" w:space="0"/>
          <w:right w:val="none" w:color="000000" w:sz="4" w:space="0"/>
        </w:tcBorders>
      </w:tcPr>
    </w:tblStylePr>
  </w:style>
  <w:style w:type="table" w:styleId="1277" w:customStyle="1">
    <w:name w:val="List Table 7 Colorful - Accent 2"/>
    <w:basedOn w:val="1157"/>
    <w:uiPriority w:val="99"/>
    <w:pPr>
      <w:spacing w:after="0" w:line="240" w:lineRule="auto"/>
    </w:pPr>
    <w:tblPr>
      <w:tblStyleRowBandSize w:val="1"/>
      <w:tblStyleColBandSize w:val="1"/>
      <w:tblBorders>
        <w:right w:val="single" w:color="F4B184" w:themeColor="accent2" w:themeTint="97" w:sz="4" w:space="0"/>
      </w:tblBorders>
    </w:tblPr>
    <w:tblStylePr w:type="band1Horz">
      <w:rPr>
        <w:rFonts w:ascii="Arial" w:hAnsi="Arial"/>
        <w:color w:val="f4b184" w:themeColor="accent2" w:themeTint="97" w:themeShade="95"/>
        <w:sz w:val="22"/>
      </w:rPr>
      <w:tcPr>
        <w:shd w:val="clear" w:color="fadecb" w:themeColor="accent2" w:themeTint="40" w:fill="fadecb" w:themeFill="accent2" w:themeFillTint="40"/>
      </w:tcPr>
    </w:tblStylePr>
    <w:tblStylePr w:type="band1Vert">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tblStylePr w:type="firstCol">
      <w:rPr>
        <w:rFonts w:ascii="Arial" w:hAnsi="Arial"/>
        <w:i/>
        <w:color w:val="f4b184" w:themeColor="accent2" w:themeTint="97" w:themeShade="95"/>
        <w:sz w:val="22"/>
      </w:rPr>
      <w:pPr>
        <w:jc w:val="right"/>
      </w:pPr>
      <w:tcPr>
        <w:shd w:val="clear" w:color="ffffff" w:fill="auto"/>
        <w:tcBorders>
          <w:top w:val="none" w:color="000000" w:sz="4" w:space="0"/>
          <w:left w:val="none" w:color="000000" w:sz="4" w:space="0"/>
          <w:bottom w:val="none" w:color="000000" w:sz="4" w:space="0"/>
          <w:right w:val="single" w:color="F4B184" w:themeColor="accent2" w:themeTint="97" w:sz="4" w:space="0"/>
        </w:tcBorders>
      </w:tcPr>
    </w:tblStylePr>
    <w:tblStylePr w:type="firstRow">
      <w:rPr>
        <w:rFonts w:ascii="Arial" w:hAnsi="Arial"/>
        <w:i/>
        <w:color w:val="f4b184" w:themeColor="accent2" w:themeTint="97" w:themeShade="95"/>
        <w:sz w:val="22"/>
      </w:rPr>
      <w:tcPr>
        <w:shd w:val="clear" w:color="ffffff" w:themeColor="light1" w:fill="ffffff" w:themeFill="light1"/>
        <w:tcBorders>
          <w:top w:val="none" w:color="000000" w:sz="4" w:space="0"/>
          <w:left w:val="none" w:color="000000" w:sz="4" w:space="0"/>
          <w:bottom w:val="single" w:color="F4B184" w:themeColor="accent2" w:themeTint="97" w:sz="4" w:space="0"/>
          <w:right w:val="none" w:color="000000" w:sz="4" w:space="0"/>
        </w:tcBorders>
      </w:tcPr>
    </w:tblStylePr>
    <w:tblStylePr w:type="lastCol">
      <w:rPr>
        <w:rFonts w:ascii="Arial" w:hAnsi="Arial"/>
        <w:i/>
        <w:color w:val="f4b184" w:themeColor="accent2" w:themeTint="97" w:themeShade="95"/>
        <w:sz w:val="22"/>
      </w:rPr>
      <w:tcPr>
        <w:shd w:val="clear" w:color="ffffff" w:fill="auto"/>
        <w:tcBorders>
          <w:top w:val="none" w:color="000000" w:sz="4" w:space="0"/>
          <w:left w:val="single" w:color="F4B184" w:themeColor="accent2" w:themeTint="97" w:sz="4" w:space="0"/>
          <w:bottom w:val="none" w:color="000000" w:sz="4" w:space="0"/>
          <w:right w:val="none" w:color="000000" w:sz="4" w:space="0"/>
        </w:tcBorders>
      </w:tcPr>
    </w:tblStylePr>
    <w:tblStylePr w:type="lastRow">
      <w:rPr>
        <w:rFonts w:ascii="Arial" w:hAnsi="Arial"/>
        <w:i/>
        <w:color w:val="f4b184" w:themeColor="accent2" w:themeTint="97" w:themeShade="95"/>
        <w:sz w:val="22"/>
      </w:rPr>
      <w:tcPr>
        <w:shd w:val="clear" w:color="ffffff" w:themeColor="light1" w:fill="ffffff" w:themeFill="light1"/>
        <w:tcBorders>
          <w:top w:val="single" w:color="F4B184" w:themeColor="accent2" w:themeTint="97" w:sz="4" w:space="0"/>
          <w:left w:val="none" w:color="000000" w:sz="4" w:space="0"/>
          <w:bottom w:val="none" w:color="000000" w:sz="4" w:space="0"/>
          <w:right w:val="none" w:color="000000" w:sz="4" w:space="0"/>
        </w:tcBorders>
      </w:tcPr>
    </w:tblStylePr>
  </w:style>
  <w:style w:type="table" w:styleId="1278" w:customStyle="1">
    <w:name w:val="List Table 7 Colorful - Accent 3"/>
    <w:basedOn w:val="1157"/>
    <w:uiPriority w:val="99"/>
    <w:pPr>
      <w:spacing w:after="0" w:line="240" w:lineRule="auto"/>
    </w:pPr>
    <w:tblPr>
      <w:tblStyleRowBandSize w:val="1"/>
      <w:tblStyleColBandSize w:val="1"/>
      <w:tblBorders>
        <w:right w:val="single" w:color="C9C9C9" w:themeColor="accent3" w:themeTint="98" w:sz="4" w:space="0"/>
      </w:tblBorders>
    </w:tblPr>
    <w:tblStylePr w:type="band1Horz">
      <w:rPr>
        <w:rFonts w:ascii="Arial" w:hAnsi="Arial"/>
        <w:color w:val="c9c9c9" w:themeColor="accent3" w:themeTint="98" w:themeShade="95"/>
        <w:sz w:val="22"/>
      </w:rPr>
      <w:tcPr>
        <w:shd w:val="clear" w:color="e8e8e8" w:themeColor="accent3" w:themeTint="40" w:fill="e8e8e8" w:themeFill="accent3" w:themeFillTint="40"/>
      </w:tcPr>
    </w:tblStylePr>
    <w:tblStylePr w:type="band1Vert">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tblStylePr w:type="firstCol">
      <w:rPr>
        <w:rFonts w:ascii="Arial" w:hAnsi="Arial"/>
        <w:i/>
        <w:color w:val="c9c9c9" w:themeColor="accent3" w:themeTint="98" w:themeShade="95"/>
        <w:sz w:val="22"/>
      </w:rPr>
      <w:pPr>
        <w:jc w:val="right"/>
      </w:pPr>
      <w:tcPr>
        <w:shd w:val="clear" w:color="ffffff" w:fill="auto"/>
        <w:tcBorders>
          <w:top w:val="none" w:color="000000" w:sz="4" w:space="0"/>
          <w:left w:val="none" w:color="000000" w:sz="4" w:space="0"/>
          <w:bottom w:val="none" w:color="000000" w:sz="4" w:space="0"/>
          <w:right w:val="single" w:color="C9C9C9" w:themeColor="accent3" w:themeTint="98" w:sz="4" w:space="0"/>
        </w:tcBorders>
      </w:tcPr>
    </w:tblStylePr>
    <w:tblStylePr w:type="firstRow">
      <w:rPr>
        <w:rFonts w:ascii="Arial" w:hAnsi="Arial"/>
        <w:i/>
        <w:color w:val="c9c9c9" w:themeColor="accent3" w:themeTint="98" w:themeShade="95"/>
        <w:sz w:val="22"/>
      </w:rPr>
      <w:tcPr>
        <w:shd w:val="clear" w:color="ffffff" w:themeColor="light1" w:fill="ffffff" w:themeFill="light1"/>
        <w:tcBorders>
          <w:top w:val="none" w:color="000000" w:sz="4" w:space="0"/>
          <w:left w:val="none" w:color="000000" w:sz="4" w:space="0"/>
          <w:bottom w:val="single" w:color="C9C9C9" w:themeColor="accent3" w:themeTint="98" w:sz="4" w:space="0"/>
          <w:right w:val="none" w:color="000000" w:sz="4" w:space="0"/>
        </w:tcBorders>
      </w:tcPr>
    </w:tblStylePr>
    <w:tblStylePr w:type="lastCol">
      <w:rPr>
        <w:rFonts w:ascii="Arial" w:hAnsi="Arial"/>
        <w:i/>
        <w:color w:val="c9c9c9" w:themeColor="accent3" w:themeTint="98" w:themeShade="95"/>
        <w:sz w:val="22"/>
      </w:rPr>
      <w:tcPr>
        <w:shd w:val="clear" w:color="ffffff" w:fill="auto"/>
        <w:tcBorders>
          <w:top w:val="none" w:color="000000" w:sz="4" w:space="0"/>
          <w:left w:val="single" w:color="C9C9C9" w:themeColor="accent3" w:themeTint="98" w:sz="4" w:space="0"/>
          <w:bottom w:val="none" w:color="000000" w:sz="4" w:space="0"/>
          <w:right w:val="none" w:color="000000" w:sz="4" w:space="0"/>
        </w:tcBorders>
      </w:tcPr>
    </w:tblStylePr>
    <w:tblStylePr w:type="lastRow">
      <w:rPr>
        <w:rFonts w:ascii="Arial" w:hAnsi="Arial"/>
        <w:i/>
        <w:color w:val="c9c9c9" w:themeColor="accent3" w:themeTint="98" w:themeShade="95"/>
        <w:sz w:val="22"/>
      </w:rPr>
      <w:tcPr>
        <w:shd w:val="clear" w:color="ffffff" w:themeColor="light1" w:fill="ffffff" w:themeFill="light1"/>
        <w:tcBorders>
          <w:top w:val="single" w:color="C9C9C9" w:themeColor="accent3" w:themeTint="98" w:sz="4" w:space="0"/>
          <w:left w:val="none" w:color="000000" w:sz="4" w:space="0"/>
          <w:bottom w:val="none" w:color="000000" w:sz="4" w:space="0"/>
          <w:right w:val="none" w:color="000000" w:sz="4" w:space="0"/>
        </w:tcBorders>
      </w:tcPr>
    </w:tblStylePr>
  </w:style>
  <w:style w:type="table" w:styleId="1279" w:customStyle="1">
    <w:name w:val="List Table 7 Colorful - Accent 4"/>
    <w:basedOn w:val="1157"/>
    <w:uiPriority w:val="99"/>
    <w:pPr>
      <w:spacing w:after="0" w:line="240" w:lineRule="auto"/>
    </w:pPr>
    <w:tblPr>
      <w:tblStyleRowBandSize w:val="1"/>
      <w:tblStyleColBandSize w:val="1"/>
      <w:tblBorders>
        <w:right w:val="single" w:color="FFD865" w:themeColor="accent4" w:themeTint="9A" w:sz="4" w:space="0"/>
      </w:tblBorders>
    </w:tblPr>
    <w:tblStylePr w:type="band1Horz">
      <w:rPr>
        <w:rFonts w:ascii="Arial" w:hAnsi="Arial"/>
        <w:color w:val="ffd865" w:themeColor="accent4" w:themeTint="9A" w:themeShade="95"/>
        <w:sz w:val="22"/>
      </w:rPr>
      <w:tcPr>
        <w:shd w:val="clear" w:color="ffefbf" w:themeColor="accent4" w:themeTint="40" w:fill="ffefbf" w:themeFill="accent4" w:themeFillTint="40"/>
      </w:tcPr>
    </w:tblStylePr>
    <w:tblStylePr w:type="band1Vert">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tblStylePr w:type="firstCol">
      <w:rPr>
        <w:rFonts w:ascii="Arial" w:hAnsi="Arial"/>
        <w:i/>
        <w:color w:val="ffd865" w:themeColor="accent4" w:themeTint="9A" w:themeShade="95"/>
        <w:sz w:val="22"/>
      </w:rPr>
      <w:pPr>
        <w:jc w:val="right"/>
      </w:pPr>
      <w:tcPr>
        <w:shd w:val="clear" w:color="ffffff" w:fill="auto"/>
        <w:tcBorders>
          <w:top w:val="none" w:color="000000" w:sz="4" w:space="0"/>
          <w:left w:val="none" w:color="000000" w:sz="4" w:space="0"/>
          <w:bottom w:val="none" w:color="000000" w:sz="4" w:space="0"/>
          <w:right w:val="single" w:color="FFD865" w:themeColor="accent4" w:themeTint="9A" w:sz="4" w:space="0"/>
        </w:tcBorders>
      </w:tcPr>
    </w:tblStylePr>
    <w:tblStylePr w:type="firstRow">
      <w:rPr>
        <w:rFonts w:ascii="Arial" w:hAnsi="Arial"/>
        <w:i/>
        <w:color w:val="ffd865" w:themeColor="accent4" w:themeTint="9A" w:themeShade="95"/>
        <w:sz w:val="22"/>
      </w:rPr>
      <w:tcPr>
        <w:shd w:val="clear" w:color="ffffff" w:themeColor="light1" w:fill="ffffff" w:themeFill="light1"/>
        <w:tcBorders>
          <w:top w:val="none" w:color="000000" w:sz="4" w:space="0"/>
          <w:left w:val="none" w:color="000000" w:sz="4" w:space="0"/>
          <w:bottom w:val="single" w:color="FFD865" w:themeColor="accent4" w:themeTint="9A" w:sz="4" w:space="0"/>
          <w:right w:val="none" w:color="000000" w:sz="4" w:space="0"/>
        </w:tcBorders>
      </w:tcPr>
    </w:tblStylePr>
    <w:tblStylePr w:type="lastCol">
      <w:rPr>
        <w:rFonts w:ascii="Arial" w:hAnsi="Arial"/>
        <w:i/>
        <w:color w:val="ffd865" w:themeColor="accent4" w:themeTint="9A" w:themeShade="95"/>
        <w:sz w:val="22"/>
      </w:rPr>
      <w:tcPr>
        <w:shd w:val="clear" w:color="ffffff" w:fill="auto"/>
        <w:tcBorders>
          <w:top w:val="none" w:color="000000" w:sz="4" w:space="0"/>
          <w:left w:val="single" w:color="FFD865" w:themeColor="accent4" w:themeTint="9A" w:sz="4" w:space="0"/>
          <w:bottom w:val="none" w:color="000000" w:sz="4" w:space="0"/>
          <w:right w:val="none" w:color="000000" w:sz="4" w:space="0"/>
        </w:tcBorders>
      </w:tcPr>
    </w:tblStylePr>
    <w:tblStylePr w:type="lastRow">
      <w:rPr>
        <w:rFonts w:ascii="Arial" w:hAnsi="Arial"/>
        <w:i/>
        <w:color w:val="ffd865" w:themeColor="accent4" w:themeTint="9A" w:themeShade="95"/>
        <w:sz w:val="22"/>
      </w:rPr>
      <w:tcPr>
        <w:shd w:val="clear" w:color="ffffff" w:themeColor="light1" w:fill="ffffff" w:themeFill="light1"/>
        <w:tcBorders>
          <w:top w:val="single" w:color="FFD865" w:themeColor="accent4" w:themeTint="9A" w:sz="4" w:space="0"/>
          <w:left w:val="none" w:color="000000" w:sz="4" w:space="0"/>
          <w:bottom w:val="none" w:color="000000" w:sz="4" w:space="0"/>
          <w:right w:val="none" w:color="000000" w:sz="4" w:space="0"/>
        </w:tcBorders>
      </w:tcPr>
    </w:tblStylePr>
  </w:style>
  <w:style w:type="table" w:styleId="1280" w:customStyle="1">
    <w:name w:val="List Table 7 Colorful - Accent 5"/>
    <w:basedOn w:val="1157"/>
    <w:uiPriority w:val="99"/>
    <w:pPr>
      <w:spacing w:after="0" w:line="240" w:lineRule="auto"/>
    </w:pPr>
    <w:tblPr>
      <w:tblStyleRowBandSize w:val="1"/>
      <w:tblStyleColBandSize w:val="1"/>
      <w:tblBorders>
        <w:right w:val="single" w:color="8DA9DB" w:themeColor="accent5" w:themeTint="9A" w:sz="4" w:space="0"/>
      </w:tblBorders>
    </w:tblPr>
    <w:tblStylePr w:type="band1Horz">
      <w:rPr>
        <w:rFonts w:ascii="Arial" w:hAnsi="Arial"/>
        <w:color w:val="8da9db" w:themeColor="accent5" w:themeTint="9A" w:themeShade="95"/>
        <w:sz w:val="22"/>
      </w:rPr>
      <w:tcPr>
        <w:shd w:val="clear" w:color="cfdbf0" w:themeColor="accent5" w:themeTint="40" w:fill="cfdbf0" w:themeFill="accent5" w:themeFillTint="40"/>
      </w:tcPr>
    </w:tblStylePr>
    <w:tblStylePr w:type="band1Vert">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tblStylePr w:type="firstCol">
      <w:rPr>
        <w:rFonts w:ascii="Arial" w:hAnsi="Arial"/>
        <w:i/>
        <w:color w:val="8da9db" w:themeColor="accent5" w:themeTint="9A" w:themeShade="95"/>
        <w:sz w:val="22"/>
      </w:rPr>
      <w:pPr>
        <w:jc w:val="right"/>
      </w:pPr>
      <w:tcPr>
        <w:shd w:val="clear" w:color="ffffff" w:fill="auto"/>
        <w:tcBorders>
          <w:top w:val="none" w:color="000000" w:sz="4" w:space="0"/>
          <w:left w:val="none" w:color="000000" w:sz="4" w:space="0"/>
          <w:bottom w:val="none" w:color="000000" w:sz="4" w:space="0"/>
          <w:right w:val="single" w:color="8DA9DB" w:themeColor="accent5" w:themeTint="9A" w:sz="4" w:space="0"/>
        </w:tcBorders>
      </w:tcPr>
    </w:tblStylePr>
    <w:tblStylePr w:type="firstRow">
      <w:rPr>
        <w:rFonts w:ascii="Arial" w:hAnsi="Arial"/>
        <w:i/>
        <w:color w:val="8da9db" w:themeColor="accent5" w:themeTint="9A" w:themeShade="95"/>
        <w:sz w:val="22"/>
      </w:rPr>
      <w:tcPr>
        <w:shd w:val="clear" w:color="ffffff" w:themeColor="light1" w:fill="ffffff" w:themeFill="light1"/>
        <w:tcBorders>
          <w:top w:val="none" w:color="000000" w:sz="4" w:space="0"/>
          <w:left w:val="none" w:color="000000" w:sz="4" w:space="0"/>
          <w:bottom w:val="single" w:color="8DA9DB" w:themeColor="accent5" w:themeTint="9A" w:sz="4" w:space="0"/>
          <w:right w:val="none" w:color="000000" w:sz="4" w:space="0"/>
        </w:tcBorders>
      </w:tcPr>
    </w:tblStylePr>
    <w:tblStylePr w:type="lastCol">
      <w:rPr>
        <w:rFonts w:ascii="Arial" w:hAnsi="Arial"/>
        <w:i/>
        <w:color w:val="8da9db" w:themeColor="accent5" w:themeTint="9A" w:themeShade="95"/>
        <w:sz w:val="22"/>
      </w:rPr>
      <w:tcPr>
        <w:shd w:val="clear" w:color="ffffff" w:fill="auto"/>
        <w:tcBorders>
          <w:top w:val="none" w:color="000000" w:sz="4" w:space="0"/>
          <w:left w:val="single" w:color="8DA9DB" w:themeColor="accent5" w:themeTint="9A" w:sz="4" w:space="0"/>
          <w:bottom w:val="none" w:color="000000" w:sz="4" w:space="0"/>
          <w:right w:val="none" w:color="000000" w:sz="4" w:space="0"/>
        </w:tcBorders>
      </w:tcPr>
    </w:tblStylePr>
    <w:tblStylePr w:type="lastRow">
      <w:rPr>
        <w:rFonts w:ascii="Arial" w:hAnsi="Arial"/>
        <w:i/>
        <w:color w:val="8da9db" w:themeColor="accent5" w:themeTint="9A" w:themeShade="95"/>
        <w:sz w:val="22"/>
      </w:rPr>
      <w:tcPr>
        <w:shd w:val="clear" w:color="ffffff" w:themeColor="light1" w:fill="ffffff" w:themeFill="light1"/>
        <w:tcBorders>
          <w:top w:val="single" w:color="8DA9DB" w:themeColor="accent5" w:themeTint="9A" w:sz="4" w:space="0"/>
          <w:left w:val="none" w:color="000000" w:sz="4" w:space="0"/>
          <w:bottom w:val="none" w:color="000000" w:sz="4" w:space="0"/>
          <w:right w:val="none" w:color="000000" w:sz="4" w:space="0"/>
        </w:tcBorders>
      </w:tcPr>
    </w:tblStylePr>
  </w:style>
  <w:style w:type="table" w:styleId="1281" w:customStyle="1">
    <w:name w:val="List Table 7 Colorful - Accent 6"/>
    <w:basedOn w:val="1157"/>
    <w:uiPriority w:val="99"/>
    <w:pPr>
      <w:spacing w:after="0" w:line="240" w:lineRule="auto"/>
    </w:pPr>
    <w:tblPr>
      <w:tblStyleRowBandSize w:val="1"/>
      <w:tblStyleColBandSize w:val="1"/>
      <w:tblBorders>
        <w:right w:val="single" w:color="A9D08E" w:themeColor="accent6" w:themeTint="98" w:sz="4" w:space="0"/>
      </w:tblBorders>
    </w:tblPr>
    <w:tblStylePr w:type="band1Horz">
      <w:rPr>
        <w:rFonts w:ascii="Arial" w:hAnsi="Arial"/>
        <w:color w:val="a9d08e" w:themeColor="accent6" w:themeTint="98" w:themeShade="95"/>
        <w:sz w:val="22"/>
      </w:rPr>
      <w:tcPr>
        <w:shd w:val="clear" w:color="daebcf" w:themeColor="accent6" w:themeTint="40" w:fill="daebcf" w:themeFill="accent6" w:themeFillTint="40"/>
      </w:tcPr>
    </w:tblStylePr>
    <w:tblStylePr w:type="band1Vert">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tblStylePr w:type="firstCol">
      <w:rPr>
        <w:rFonts w:ascii="Arial" w:hAnsi="Arial"/>
        <w:i/>
        <w:color w:val="a9d08e" w:themeColor="accent6" w:themeTint="98" w:themeShade="95"/>
        <w:sz w:val="22"/>
      </w:rPr>
      <w:pPr>
        <w:jc w:val="right"/>
      </w:pPr>
      <w:tcPr>
        <w:shd w:val="clear" w:color="ffffff" w:fill="auto"/>
        <w:tcBorders>
          <w:top w:val="none" w:color="000000" w:sz="4" w:space="0"/>
          <w:left w:val="none" w:color="000000" w:sz="4" w:space="0"/>
          <w:bottom w:val="none" w:color="000000" w:sz="4" w:space="0"/>
          <w:right w:val="single" w:color="A9D08E" w:themeColor="accent6" w:themeTint="98" w:sz="4" w:space="0"/>
        </w:tcBorders>
      </w:tcPr>
    </w:tblStylePr>
    <w:tblStylePr w:type="firstRow">
      <w:rPr>
        <w:rFonts w:ascii="Arial" w:hAnsi="Arial"/>
        <w:i/>
        <w:color w:val="a9d08e" w:themeColor="accent6" w:themeTint="98" w:themeShade="95"/>
        <w:sz w:val="22"/>
      </w:rPr>
      <w:tcPr>
        <w:shd w:val="clear" w:color="ffffff" w:themeColor="light1" w:fill="ffffff" w:themeFill="light1"/>
        <w:tcBorders>
          <w:top w:val="none" w:color="000000" w:sz="4" w:space="0"/>
          <w:left w:val="none" w:color="000000" w:sz="4" w:space="0"/>
          <w:bottom w:val="single" w:color="A9D08E" w:themeColor="accent6" w:themeTint="98" w:sz="4" w:space="0"/>
          <w:right w:val="none" w:color="000000" w:sz="4" w:space="0"/>
        </w:tcBorders>
      </w:tcPr>
    </w:tblStylePr>
    <w:tblStylePr w:type="lastCol">
      <w:rPr>
        <w:rFonts w:ascii="Arial" w:hAnsi="Arial"/>
        <w:i/>
        <w:color w:val="a9d08e" w:themeColor="accent6" w:themeTint="98" w:themeShade="95"/>
        <w:sz w:val="22"/>
      </w:rPr>
      <w:tcPr>
        <w:shd w:val="clear" w:color="ffffff" w:fill="auto"/>
        <w:tcBorders>
          <w:top w:val="none" w:color="000000" w:sz="4" w:space="0"/>
          <w:left w:val="single" w:color="A9D08E" w:themeColor="accent6" w:themeTint="98" w:sz="4" w:space="0"/>
          <w:bottom w:val="none" w:color="000000" w:sz="4" w:space="0"/>
          <w:right w:val="none" w:color="000000" w:sz="4" w:space="0"/>
        </w:tcBorders>
      </w:tcPr>
    </w:tblStylePr>
    <w:tblStylePr w:type="lastRow">
      <w:rPr>
        <w:rFonts w:ascii="Arial" w:hAnsi="Arial"/>
        <w:i/>
        <w:color w:val="a9d08e" w:themeColor="accent6" w:themeTint="98" w:themeShade="95"/>
        <w:sz w:val="22"/>
      </w:rPr>
      <w:tcPr>
        <w:shd w:val="clear" w:color="ffffff" w:themeColor="light1" w:fill="ffffff" w:themeFill="light1"/>
        <w:tcBorders>
          <w:top w:val="single" w:color="A9D08E" w:themeColor="accent6" w:themeTint="98" w:sz="4" w:space="0"/>
          <w:left w:val="none" w:color="000000" w:sz="4" w:space="0"/>
          <w:bottom w:val="none" w:color="000000" w:sz="4" w:space="0"/>
          <w:right w:val="none" w:color="000000" w:sz="4" w:space="0"/>
        </w:tcBorders>
      </w:tcPr>
    </w:tblStylePr>
  </w:style>
  <w:style w:type="table" w:styleId="1282" w:customStyle="1">
    <w:name w:val="Lined - Accent"/>
    <w:basedOn w:val="1157"/>
    <w:uiPriority w:val="99"/>
    <w:pPr>
      <w:spacing w:after="0" w:line="240" w:lineRule="auto"/>
    </w:pPr>
    <w:rPr>
      <w:color w:val="404040"/>
      <w:sz w:val="20"/>
      <w:szCs w:val="20"/>
      <w:lang w:eastAsia="ru-RU"/>
    </w:r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2f2f2" w:themeColor="text1" w:themeTint="0D" w:fill="f2f2f2" w:themeFill="text1" w:themeFillTint="0D"/>
      </w:tcPr>
    </w:tblStylePr>
    <w:tblStylePr w:type="band2Vert">
      <w:rPr>
        <w:rFonts w:ascii="Arial" w:hAnsi="Arial"/>
        <w:color w:val="404040"/>
        <w:sz w:val="22"/>
      </w:rPr>
      <w:tcPr>
        <w:shd w:val="clear" w:color="f2f2f2" w:themeColor="text1" w:themeTint="0D" w:fill="f2f2f2" w:themeFill="text1" w:themeFillTint="0D"/>
      </w:tcPr>
    </w:tblStylePr>
    <w:tblStylePr w:type="firstCol">
      <w:rPr>
        <w:rFonts w:ascii="Arial" w:hAnsi="Arial"/>
        <w:color w:val="f2f2f2"/>
        <w:sz w:val="22"/>
      </w:rPr>
      <w:tcPr>
        <w:shd w:val="clear" w:color="7f7f7f" w:themeColor="text1" w:themeTint="80" w:fill="7f7f7f" w:themeFill="text1" w:themeFillTint="80"/>
      </w:tcPr>
    </w:tblStylePr>
    <w:tblStylePr w:type="firstRow">
      <w:rPr>
        <w:rFonts w:ascii="Arial" w:hAnsi="Arial"/>
        <w:color w:val="f2f2f2"/>
        <w:sz w:val="22"/>
      </w:rPr>
      <w:tcPr>
        <w:shd w:val="clear" w:color="7f7f7f" w:themeColor="text1" w:themeTint="80" w:fill="7f7f7f" w:themeFill="text1" w:themeFillTint="80"/>
      </w:tcPr>
    </w:tblStylePr>
    <w:tblStylePr w:type="lastCol">
      <w:rPr>
        <w:rFonts w:ascii="Arial" w:hAnsi="Arial"/>
        <w:color w:val="f2f2f2"/>
        <w:sz w:val="22"/>
      </w:rPr>
      <w:tcPr>
        <w:shd w:val="clear" w:color="7f7f7f" w:themeColor="text1" w:themeTint="80" w:fill="7f7f7f" w:themeFill="text1" w:themeFillTint="80"/>
      </w:tcPr>
    </w:tblStylePr>
    <w:tblStylePr w:type="lastRow">
      <w:rPr>
        <w:rFonts w:ascii="Arial" w:hAnsi="Arial"/>
        <w:color w:val="f2f2f2"/>
        <w:sz w:val="22"/>
      </w:rPr>
      <w:tcPr>
        <w:shd w:val="clear" w:color="7f7f7f" w:themeColor="text1" w:themeTint="80" w:fill="7f7f7f" w:themeFill="text1" w:themeFillTint="80"/>
      </w:tcPr>
    </w:tblStylePr>
  </w:style>
  <w:style w:type="table" w:styleId="1283" w:customStyle="1">
    <w:name w:val="Lined - Accent 1"/>
    <w:basedOn w:val="1157"/>
    <w:uiPriority w:val="99"/>
    <w:pPr>
      <w:spacing w:after="0" w:line="240" w:lineRule="auto"/>
    </w:pPr>
    <w:rPr>
      <w:color w:val="404040"/>
      <w:sz w:val="20"/>
      <w:szCs w:val="20"/>
      <w:lang w:eastAsia="ru-RU"/>
    </w:r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cbdff1" w:themeColor="accent1" w:themeTint="50" w:fill="cbdff1" w:themeFill="accent1" w:themeFillTint="50"/>
      </w:tcPr>
    </w:tblStylePr>
    <w:tblStylePr w:type="band2Vert">
      <w:rPr>
        <w:rFonts w:ascii="Arial" w:hAnsi="Arial"/>
        <w:color w:val="404040"/>
        <w:sz w:val="22"/>
      </w:rPr>
      <w:tcPr>
        <w:shd w:val="clear" w:color="cbdff1" w:themeColor="accent1" w:themeTint="50" w:fill="cbdff1" w:themeFill="accent1" w:themeFillTint="50"/>
      </w:tcPr>
    </w:tblStylePr>
    <w:tblStylePr w:type="firstCol">
      <w:rPr>
        <w:rFonts w:ascii="Arial" w:hAnsi="Arial"/>
        <w:color w:val="f2f2f2"/>
        <w:sz w:val="22"/>
      </w:rPr>
      <w:tcPr>
        <w:shd w:val="clear" w:color="68a2d8" w:themeColor="accent1" w:themeTint="EA" w:fill="68a2d8" w:themeFill="accent1" w:themeFillTint="EA"/>
      </w:tcPr>
    </w:tblStylePr>
    <w:tblStylePr w:type="firstRow">
      <w:rPr>
        <w:rFonts w:ascii="Arial" w:hAnsi="Arial"/>
        <w:color w:val="f2f2f2"/>
        <w:sz w:val="22"/>
      </w:rPr>
      <w:tcPr>
        <w:shd w:val="clear" w:color="68a2d8" w:themeColor="accent1" w:themeTint="EA" w:fill="68a2d8" w:themeFill="accent1" w:themeFillTint="EA"/>
      </w:tcPr>
    </w:tblStylePr>
    <w:tblStylePr w:type="lastCol">
      <w:rPr>
        <w:rFonts w:ascii="Arial" w:hAnsi="Arial"/>
        <w:color w:val="f2f2f2"/>
        <w:sz w:val="22"/>
      </w:rPr>
      <w:tcPr>
        <w:shd w:val="clear" w:color="68a2d8" w:themeColor="accent1" w:themeTint="EA" w:fill="68a2d8" w:themeFill="accent1" w:themeFillTint="EA"/>
      </w:tcPr>
    </w:tblStylePr>
    <w:tblStylePr w:type="lastRow">
      <w:rPr>
        <w:rFonts w:ascii="Arial" w:hAnsi="Arial"/>
        <w:color w:val="f2f2f2"/>
        <w:sz w:val="22"/>
      </w:rPr>
      <w:tcPr>
        <w:shd w:val="clear" w:color="68a2d8" w:themeColor="accent1" w:themeTint="EA" w:fill="68a2d8" w:themeFill="accent1" w:themeFillTint="EA"/>
      </w:tcPr>
    </w:tblStylePr>
  </w:style>
  <w:style w:type="table" w:styleId="1284" w:customStyle="1">
    <w:name w:val="Lined - Accent 2"/>
    <w:basedOn w:val="1157"/>
    <w:uiPriority w:val="99"/>
    <w:pPr>
      <w:spacing w:after="0" w:line="240" w:lineRule="auto"/>
    </w:pPr>
    <w:rPr>
      <w:color w:val="404040"/>
      <w:sz w:val="20"/>
      <w:szCs w:val="20"/>
      <w:lang w:eastAsia="ru-RU"/>
    </w:r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be5d6" w:themeColor="accent2" w:themeTint="32" w:fill="fbe5d6" w:themeFill="accent2" w:themeFillTint="32"/>
      </w:tcPr>
    </w:tblStylePr>
    <w:tblStylePr w:type="band2Vert">
      <w:rPr>
        <w:rFonts w:ascii="Arial" w:hAnsi="Arial"/>
        <w:color w:val="404040"/>
        <w:sz w:val="22"/>
      </w:rPr>
      <w:tcPr>
        <w:shd w:val="clear" w:color="fbe5d6" w:themeColor="accent2" w:themeTint="32" w:fill="fbe5d6" w:themeFill="accent2" w:themeFillTint="32"/>
      </w:tcPr>
    </w:tblStylePr>
    <w:tblStylePr w:type="firstCol">
      <w:rPr>
        <w:rFonts w:ascii="Arial" w:hAnsi="Arial"/>
        <w:color w:val="f2f2f2"/>
        <w:sz w:val="22"/>
      </w:rPr>
      <w:tcPr>
        <w:shd w:val="clear" w:color="f4b184" w:themeColor="accent2" w:themeTint="97" w:fill="f4b184" w:themeFill="accent2" w:themeFillTint="97"/>
      </w:tcPr>
    </w:tblStylePr>
    <w:tblStylePr w:type="firstRow">
      <w:rPr>
        <w:rFonts w:ascii="Arial" w:hAnsi="Arial"/>
        <w:color w:val="f2f2f2"/>
        <w:sz w:val="22"/>
      </w:rPr>
      <w:tcPr>
        <w:shd w:val="clear" w:color="f4b184" w:themeColor="accent2" w:themeTint="97" w:fill="f4b184" w:themeFill="accent2" w:themeFillTint="97"/>
      </w:tcPr>
    </w:tblStylePr>
    <w:tblStylePr w:type="lastCol">
      <w:rPr>
        <w:rFonts w:ascii="Arial" w:hAnsi="Arial"/>
        <w:color w:val="f2f2f2"/>
        <w:sz w:val="22"/>
      </w:rPr>
      <w:tcPr>
        <w:shd w:val="clear" w:color="f4b184" w:themeColor="accent2" w:themeTint="97" w:fill="f4b184" w:themeFill="accent2" w:themeFillTint="97"/>
      </w:tcPr>
    </w:tblStylePr>
    <w:tblStylePr w:type="lastRow">
      <w:rPr>
        <w:rFonts w:ascii="Arial" w:hAnsi="Arial"/>
        <w:color w:val="f2f2f2"/>
        <w:sz w:val="22"/>
      </w:rPr>
      <w:tcPr>
        <w:shd w:val="clear" w:color="f4b184" w:themeColor="accent2" w:themeTint="97" w:fill="f4b184" w:themeFill="accent2" w:themeFillTint="97"/>
      </w:tcPr>
    </w:tblStylePr>
  </w:style>
  <w:style w:type="table" w:styleId="1285" w:customStyle="1">
    <w:name w:val="Lined - Accent 3"/>
    <w:basedOn w:val="1157"/>
    <w:uiPriority w:val="99"/>
    <w:pPr>
      <w:spacing w:after="0" w:line="240" w:lineRule="auto"/>
    </w:pPr>
    <w:rPr>
      <w:color w:val="404040"/>
      <w:sz w:val="20"/>
      <w:szCs w:val="20"/>
      <w:lang w:eastAsia="ru-RU"/>
    </w:r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ececec" w:themeColor="accent3" w:themeTint="34" w:fill="ececec" w:themeFill="accent3" w:themeFillTint="34"/>
      </w:tcPr>
    </w:tblStylePr>
    <w:tblStylePr w:type="band2Vert">
      <w:rPr>
        <w:rFonts w:ascii="Arial" w:hAnsi="Arial"/>
        <w:color w:val="404040"/>
        <w:sz w:val="22"/>
      </w:rPr>
      <w:tcPr>
        <w:shd w:val="clear" w:color="ececec" w:themeColor="accent3" w:themeTint="34" w:fill="ececec" w:themeFill="accent3" w:themeFillTint="34"/>
      </w:tcPr>
    </w:tblStylePr>
    <w:tblStylePr w:type="firstCol">
      <w:rPr>
        <w:rFonts w:ascii="Arial" w:hAnsi="Arial"/>
        <w:color w:val="f2f2f2"/>
        <w:sz w:val="22"/>
      </w:rPr>
      <w:tcPr>
        <w:shd w:val="clear" w:color="a5a5a5" w:themeColor="accent3" w:themeTint="FE" w:fill="a5a5a5" w:themeFill="accent3" w:themeFillTint="FE"/>
      </w:tcPr>
    </w:tblStylePr>
    <w:tblStylePr w:type="firstRow">
      <w:rPr>
        <w:rFonts w:ascii="Arial" w:hAnsi="Arial"/>
        <w:color w:val="f2f2f2"/>
        <w:sz w:val="22"/>
      </w:rPr>
      <w:tcPr>
        <w:shd w:val="clear" w:color="a5a5a5" w:themeColor="accent3" w:themeTint="FE" w:fill="a5a5a5" w:themeFill="accent3" w:themeFillTint="FE"/>
      </w:tcPr>
    </w:tblStylePr>
    <w:tblStylePr w:type="lastCol">
      <w:rPr>
        <w:rFonts w:ascii="Arial" w:hAnsi="Arial"/>
        <w:color w:val="f2f2f2"/>
        <w:sz w:val="22"/>
      </w:rPr>
      <w:tcPr>
        <w:shd w:val="clear" w:color="a5a5a5" w:themeColor="accent3" w:themeTint="FE" w:fill="a5a5a5" w:themeFill="accent3" w:themeFillTint="FE"/>
      </w:tcPr>
    </w:tblStylePr>
    <w:tblStylePr w:type="lastRow">
      <w:rPr>
        <w:rFonts w:ascii="Arial" w:hAnsi="Arial"/>
        <w:color w:val="f2f2f2"/>
        <w:sz w:val="22"/>
      </w:rPr>
      <w:tcPr>
        <w:shd w:val="clear" w:color="a5a5a5" w:themeColor="accent3" w:themeTint="FE" w:fill="a5a5a5" w:themeFill="accent3" w:themeFillTint="FE"/>
      </w:tcPr>
    </w:tblStylePr>
  </w:style>
  <w:style w:type="table" w:styleId="1286" w:customStyle="1">
    <w:name w:val="Lined - Accent 4"/>
    <w:basedOn w:val="1157"/>
    <w:uiPriority w:val="99"/>
    <w:pPr>
      <w:spacing w:after="0" w:line="240" w:lineRule="auto"/>
    </w:pPr>
    <w:rPr>
      <w:color w:val="404040"/>
      <w:sz w:val="20"/>
      <w:szCs w:val="20"/>
      <w:lang w:eastAsia="ru-RU"/>
    </w:r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2cb" w:themeColor="accent4" w:themeTint="34" w:fill="fff2cb" w:themeFill="accent4" w:themeFillTint="34"/>
      </w:tcPr>
    </w:tblStylePr>
    <w:tblStylePr w:type="band2Vert">
      <w:rPr>
        <w:rFonts w:ascii="Arial" w:hAnsi="Arial"/>
        <w:color w:val="404040"/>
        <w:sz w:val="22"/>
      </w:rPr>
      <w:tcPr>
        <w:shd w:val="clear" w:color="fff2cb" w:themeColor="accent4" w:themeTint="34" w:fill="fff2cb" w:themeFill="accent4" w:themeFillTint="34"/>
      </w:tcPr>
    </w:tblStylePr>
    <w:tblStylePr w:type="firstCol">
      <w:rPr>
        <w:rFonts w:ascii="Arial" w:hAnsi="Arial"/>
        <w:color w:val="f2f2f2"/>
        <w:sz w:val="22"/>
      </w:rPr>
      <w:tcPr>
        <w:shd w:val="clear" w:color="ffd865" w:themeColor="accent4" w:themeTint="9A" w:fill="ffd865" w:themeFill="accent4" w:themeFillTint="9A"/>
      </w:tcPr>
    </w:tblStylePr>
    <w:tblStylePr w:type="firstRow">
      <w:rPr>
        <w:rFonts w:ascii="Arial" w:hAnsi="Arial"/>
        <w:color w:val="f2f2f2"/>
        <w:sz w:val="22"/>
      </w:rPr>
      <w:tcPr>
        <w:shd w:val="clear" w:color="ffd865" w:themeColor="accent4" w:themeTint="9A" w:fill="ffd865" w:themeFill="accent4" w:themeFillTint="9A"/>
      </w:tcPr>
    </w:tblStylePr>
    <w:tblStylePr w:type="lastCol">
      <w:rPr>
        <w:rFonts w:ascii="Arial" w:hAnsi="Arial"/>
        <w:color w:val="f2f2f2"/>
        <w:sz w:val="22"/>
      </w:rPr>
      <w:tcPr>
        <w:shd w:val="clear" w:color="ffd865" w:themeColor="accent4" w:themeTint="9A" w:fill="ffd865" w:themeFill="accent4" w:themeFillTint="9A"/>
      </w:tcPr>
    </w:tblStylePr>
    <w:tblStylePr w:type="lastRow">
      <w:rPr>
        <w:rFonts w:ascii="Arial" w:hAnsi="Arial"/>
        <w:color w:val="f2f2f2"/>
        <w:sz w:val="22"/>
      </w:rPr>
      <w:tcPr>
        <w:shd w:val="clear" w:color="ffd865" w:themeColor="accent4" w:themeTint="9A" w:fill="ffd865" w:themeFill="accent4" w:themeFillTint="9A"/>
      </w:tcPr>
    </w:tblStylePr>
  </w:style>
  <w:style w:type="table" w:styleId="1287" w:customStyle="1">
    <w:name w:val="Lined - Accent 5"/>
    <w:basedOn w:val="1157"/>
    <w:uiPriority w:val="99"/>
    <w:pPr>
      <w:spacing w:after="0" w:line="240" w:lineRule="auto"/>
    </w:pPr>
    <w:rPr>
      <w:color w:val="404040"/>
      <w:sz w:val="20"/>
      <w:szCs w:val="20"/>
      <w:lang w:eastAsia="ru-RU"/>
    </w:r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d8e2f3" w:themeColor="accent5" w:themeTint="34" w:fill="d8e2f3" w:themeFill="accent5" w:themeFillTint="34"/>
      </w:tcPr>
    </w:tblStylePr>
    <w:tblStylePr w:type="band2Vert">
      <w:rPr>
        <w:rFonts w:ascii="Arial" w:hAnsi="Arial"/>
        <w:color w:val="404040"/>
        <w:sz w:val="22"/>
      </w:rPr>
      <w:tcPr>
        <w:shd w:val="clear" w:color="d8e2f3" w:themeColor="accent5" w:themeTint="34" w:fill="d8e2f3" w:themeFill="accent5" w:themeFillTint="34"/>
      </w:tcPr>
    </w:tblStylePr>
    <w:tblStylePr w:type="firstCol">
      <w:rPr>
        <w:rFonts w:ascii="Arial" w:hAnsi="Arial"/>
        <w:color w:val="f2f2f2"/>
        <w:sz w:val="22"/>
      </w:rPr>
      <w:tcPr>
        <w:shd w:val="clear" w:color="4472c4" w:themeColor="accent5" w:fill="4472c4" w:themeFill="accent5"/>
      </w:tcPr>
    </w:tblStylePr>
    <w:tblStylePr w:type="firstRow">
      <w:rPr>
        <w:rFonts w:ascii="Arial" w:hAnsi="Arial"/>
        <w:color w:val="f2f2f2"/>
        <w:sz w:val="22"/>
      </w:rPr>
      <w:tcPr>
        <w:shd w:val="clear" w:color="4472c4" w:themeColor="accent5" w:fill="4472c4" w:themeFill="accent5"/>
      </w:tcPr>
    </w:tblStylePr>
    <w:tblStylePr w:type="lastCol">
      <w:rPr>
        <w:rFonts w:ascii="Arial" w:hAnsi="Arial"/>
        <w:color w:val="f2f2f2"/>
        <w:sz w:val="22"/>
      </w:rPr>
      <w:tcPr>
        <w:shd w:val="clear" w:color="4472c4" w:themeColor="accent5" w:fill="4472c4" w:themeFill="accent5"/>
      </w:tcPr>
    </w:tblStylePr>
    <w:tblStylePr w:type="lastRow">
      <w:rPr>
        <w:rFonts w:ascii="Arial" w:hAnsi="Arial"/>
        <w:color w:val="f2f2f2"/>
        <w:sz w:val="22"/>
      </w:rPr>
      <w:tcPr>
        <w:shd w:val="clear" w:color="4472c4" w:themeColor="accent5" w:fill="4472c4" w:themeFill="accent5"/>
      </w:tcPr>
    </w:tblStylePr>
  </w:style>
  <w:style w:type="table" w:styleId="1288" w:customStyle="1">
    <w:name w:val="Lined - Accent 6"/>
    <w:basedOn w:val="1157"/>
    <w:uiPriority w:val="99"/>
    <w:pPr>
      <w:spacing w:after="0" w:line="240" w:lineRule="auto"/>
    </w:pPr>
    <w:rPr>
      <w:color w:val="404040"/>
      <w:sz w:val="20"/>
      <w:szCs w:val="20"/>
      <w:lang w:eastAsia="ru-RU"/>
    </w:r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e1efd8" w:themeColor="accent6" w:themeTint="34" w:fill="e1efd8" w:themeFill="accent6" w:themeFillTint="34"/>
      </w:tcPr>
    </w:tblStylePr>
    <w:tblStylePr w:type="band2Vert">
      <w:rPr>
        <w:rFonts w:ascii="Arial" w:hAnsi="Arial"/>
        <w:color w:val="404040"/>
        <w:sz w:val="22"/>
      </w:rPr>
      <w:tcPr>
        <w:shd w:val="clear" w:color="e1efd8" w:themeColor="accent6" w:themeTint="34" w:fill="e1efd8" w:themeFill="accent6" w:themeFillTint="34"/>
      </w:tcPr>
    </w:tblStylePr>
    <w:tblStylePr w:type="firstCol">
      <w:rPr>
        <w:rFonts w:ascii="Arial" w:hAnsi="Arial"/>
        <w:color w:val="f2f2f2"/>
        <w:sz w:val="22"/>
      </w:rPr>
      <w:tcPr>
        <w:shd w:val="clear" w:color="70ad47" w:themeColor="accent6" w:fill="70ad47" w:themeFill="accent6"/>
      </w:tcPr>
    </w:tblStylePr>
    <w:tblStylePr w:type="firstRow">
      <w:rPr>
        <w:rFonts w:ascii="Arial" w:hAnsi="Arial"/>
        <w:color w:val="f2f2f2"/>
        <w:sz w:val="22"/>
      </w:rPr>
      <w:tcPr>
        <w:shd w:val="clear" w:color="70ad47" w:themeColor="accent6" w:fill="70ad47" w:themeFill="accent6"/>
      </w:tcPr>
    </w:tblStylePr>
    <w:tblStylePr w:type="lastCol">
      <w:rPr>
        <w:rFonts w:ascii="Arial" w:hAnsi="Arial"/>
        <w:color w:val="f2f2f2"/>
        <w:sz w:val="22"/>
      </w:rPr>
      <w:tcPr>
        <w:shd w:val="clear" w:color="70ad47" w:themeColor="accent6" w:fill="70ad47" w:themeFill="accent6"/>
      </w:tcPr>
    </w:tblStylePr>
    <w:tblStylePr w:type="lastRow">
      <w:rPr>
        <w:rFonts w:ascii="Arial" w:hAnsi="Arial"/>
        <w:color w:val="f2f2f2"/>
        <w:sz w:val="22"/>
      </w:rPr>
      <w:tcPr>
        <w:shd w:val="clear" w:color="70ad47" w:themeColor="accent6" w:fill="70ad47" w:themeFill="accent6"/>
      </w:tcPr>
    </w:tblStylePr>
  </w:style>
  <w:style w:type="table" w:styleId="1289" w:customStyle="1">
    <w:name w:val="Bordered &amp; Lined - Accent"/>
    <w:basedOn w:val="1157"/>
    <w:uiPriority w:val="99"/>
    <w:pPr>
      <w:spacing w:after="0" w:line="240" w:lineRule="auto"/>
    </w:pPr>
    <w:rPr>
      <w:color w:val="404040"/>
      <w:sz w:val="20"/>
      <w:szCs w:val="20"/>
      <w:lang w:eastAsia="ru-RU"/>
    </w:rPr>
    <w:tblPr>
      <w:tblStyleRowBandSize w:val="1"/>
      <w:tblStyleColBandSize w:val="1"/>
      <w:tblBorders>
        <w:top w:val="single" w:color="595959" w:themeColor="text1" w:themeTint="A6" w:sz="4" w:space="0"/>
        <w:left w:val="single" w:color="595959" w:themeColor="text1" w:themeTint="A6" w:sz="4" w:space="0"/>
        <w:bottom w:val="single" w:color="595959" w:themeColor="text1" w:themeTint="A6" w:sz="4" w:space="0"/>
        <w:right w:val="single" w:color="595959" w:themeColor="text1" w:themeTint="A6" w:sz="4" w:space="0"/>
        <w:insideH w:val="single" w:color="595959" w:themeColor="text1" w:themeTint="A6" w:sz="4" w:space="0"/>
        <w:insideV w:val="single" w:color="595959" w:themeColor="text1" w:themeTint="A6"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2f2f2" w:themeColor="text1" w:themeTint="0D" w:fill="f2f2f2" w:themeFill="text1" w:themeFillTint="0D"/>
      </w:tcPr>
    </w:tblStylePr>
    <w:tblStylePr w:type="band2Vert">
      <w:rPr>
        <w:rFonts w:ascii="Arial" w:hAnsi="Arial"/>
        <w:color w:val="404040"/>
        <w:sz w:val="22"/>
      </w:rPr>
      <w:tcPr>
        <w:shd w:val="clear" w:color="f2f2f2" w:themeColor="text1" w:themeTint="0D" w:fill="f2f2f2" w:themeFill="text1" w:themeFillTint="0D"/>
      </w:tcPr>
    </w:tblStylePr>
    <w:tblStylePr w:type="firstCol">
      <w:rPr>
        <w:rFonts w:ascii="Arial" w:hAnsi="Arial"/>
        <w:color w:val="f2f2f2"/>
        <w:sz w:val="22"/>
      </w:rPr>
      <w:tcPr>
        <w:shd w:val="clear" w:color="7f7f7f" w:themeColor="text1" w:themeTint="80" w:fill="7f7f7f" w:themeFill="text1" w:themeFillTint="80"/>
      </w:tcPr>
    </w:tblStylePr>
    <w:tblStylePr w:type="firstRow">
      <w:rPr>
        <w:rFonts w:ascii="Arial" w:hAnsi="Arial"/>
        <w:color w:val="f2f2f2"/>
        <w:sz w:val="22"/>
      </w:rPr>
      <w:tcPr>
        <w:shd w:val="clear" w:color="7f7f7f" w:themeColor="text1" w:themeTint="80" w:fill="7f7f7f" w:themeFill="text1" w:themeFillTint="80"/>
      </w:tcPr>
    </w:tblStylePr>
    <w:tblStylePr w:type="lastCol">
      <w:rPr>
        <w:rFonts w:ascii="Arial" w:hAnsi="Arial"/>
        <w:color w:val="f2f2f2"/>
        <w:sz w:val="22"/>
      </w:rPr>
      <w:tcPr>
        <w:shd w:val="clear" w:color="7f7f7f" w:themeColor="text1" w:themeTint="80" w:fill="7f7f7f" w:themeFill="text1" w:themeFillTint="80"/>
      </w:tcPr>
    </w:tblStylePr>
    <w:tblStylePr w:type="lastRow">
      <w:rPr>
        <w:rFonts w:ascii="Arial" w:hAnsi="Arial"/>
        <w:color w:val="f2f2f2"/>
        <w:sz w:val="22"/>
      </w:rPr>
      <w:tcPr>
        <w:shd w:val="clear" w:color="7f7f7f" w:themeColor="text1" w:themeTint="80" w:fill="7f7f7f" w:themeFill="text1" w:themeFillTint="80"/>
      </w:tcPr>
    </w:tblStylePr>
  </w:style>
  <w:style w:type="table" w:styleId="1290" w:customStyle="1">
    <w:name w:val="Bordered &amp; Lined - Accent 1"/>
    <w:basedOn w:val="1157"/>
    <w:uiPriority w:val="99"/>
    <w:pPr>
      <w:spacing w:after="0" w:line="240" w:lineRule="auto"/>
    </w:pPr>
    <w:rPr>
      <w:color w:val="404040"/>
      <w:sz w:val="20"/>
      <w:szCs w:val="20"/>
      <w:lang w:eastAsia="ru-RU"/>
    </w:rPr>
    <w:tblPr>
      <w:tblStyleRowBandSize w:val="1"/>
      <w:tblStyleColBandSize w:val="1"/>
      <w:tblBorders>
        <w:top w:val="single" w:color="245A8D" w:themeColor="accent1" w:themeShade="95" w:sz="4" w:space="0"/>
        <w:left w:val="single" w:color="245A8D" w:themeColor="accent1" w:themeShade="95" w:sz="4" w:space="0"/>
        <w:bottom w:val="single" w:color="245A8D" w:themeColor="accent1" w:themeShade="95" w:sz="4" w:space="0"/>
        <w:right w:val="single" w:color="245A8D" w:themeColor="accent1" w:themeShade="95" w:sz="4" w:space="0"/>
        <w:insideH w:val="single" w:color="245A8D" w:themeColor="accent1" w:themeShade="95" w:sz="4" w:space="0"/>
        <w:insideV w:val="single" w:color="245A8D" w:themeColor="accent1"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cbdff1" w:themeColor="accent1" w:themeTint="50" w:fill="cbdff1" w:themeFill="accent1" w:themeFillTint="50"/>
      </w:tcPr>
    </w:tblStylePr>
    <w:tblStylePr w:type="band2Vert">
      <w:rPr>
        <w:rFonts w:ascii="Arial" w:hAnsi="Arial"/>
        <w:color w:val="404040"/>
        <w:sz w:val="22"/>
      </w:rPr>
      <w:tcPr>
        <w:shd w:val="clear" w:color="cbdff1" w:themeColor="accent1" w:themeTint="50" w:fill="cbdff1" w:themeFill="accent1" w:themeFillTint="50"/>
      </w:tcPr>
    </w:tblStylePr>
    <w:tblStylePr w:type="firstCol">
      <w:rPr>
        <w:rFonts w:ascii="Arial" w:hAnsi="Arial"/>
        <w:color w:val="f2f2f2"/>
        <w:sz w:val="22"/>
      </w:rPr>
      <w:tcPr>
        <w:shd w:val="clear" w:color="68a2d8" w:themeColor="accent1" w:themeTint="EA" w:fill="68a2d8" w:themeFill="accent1" w:themeFillTint="EA"/>
      </w:tcPr>
    </w:tblStylePr>
    <w:tblStylePr w:type="firstRow">
      <w:rPr>
        <w:rFonts w:ascii="Arial" w:hAnsi="Arial"/>
        <w:color w:val="f2f2f2"/>
        <w:sz w:val="22"/>
      </w:rPr>
      <w:tcPr>
        <w:shd w:val="clear" w:color="68a2d8" w:themeColor="accent1" w:themeTint="EA" w:fill="68a2d8" w:themeFill="accent1" w:themeFillTint="EA"/>
      </w:tcPr>
    </w:tblStylePr>
    <w:tblStylePr w:type="lastCol">
      <w:rPr>
        <w:rFonts w:ascii="Arial" w:hAnsi="Arial"/>
        <w:color w:val="f2f2f2"/>
        <w:sz w:val="22"/>
      </w:rPr>
      <w:tcPr>
        <w:shd w:val="clear" w:color="68a2d8" w:themeColor="accent1" w:themeTint="EA" w:fill="68a2d8" w:themeFill="accent1" w:themeFillTint="EA"/>
      </w:tcPr>
    </w:tblStylePr>
    <w:tblStylePr w:type="lastRow">
      <w:rPr>
        <w:rFonts w:ascii="Arial" w:hAnsi="Arial"/>
        <w:color w:val="f2f2f2"/>
        <w:sz w:val="22"/>
      </w:rPr>
      <w:tcPr>
        <w:shd w:val="clear" w:color="68a2d8" w:themeColor="accent1" w:themeTint="EA" w:fill="68a2d8" w:themeFill="accent1" w:themeFillTint="EA"/>
      </w:tcPr>
    </w:tblStylePr>
  </w:style>
  <w:style w:type="table" w:styleId="1291" w:customStyle="1">
    <w:name w:val="Bordered &amp; Lined - Accent 2"/>
    <w:basedOn w:val="1157"/>
    <w:uiPriority w:val="99"/>
    <w:pPr>
      <w:spacing w:after="0" w:line="240" w:lineRule="auto"/>
    </w:pPr>
    <w:rPr>
      <w:color w:val="404040"/>
      <w:sz w:val="20"/>
      <w:szCs w:val="20"/>
      <w:lang w:eastAsia="ru-RU"/>
    </w:rPr>
    <w:tblPr>
      <w:tblStyleRowBandSize w:val="1"/>
      <w:tblStyleColBandSize w:val="1"/>
      <w:tblBorders>
        <w:top w:val="single" w:color="99460D" w:themeColor="accent2" w:themeShade="95" w:sz="4" w:space="0"/>
        <w:left w:val="single" w:color="99460D" w:themeColor="accent2" w:themeShade="95" w:sz="4" w:space="0"/>
        <w:bottom w:val="single" w:color="99460D" w:themeColor="accent2" w:themeShade="95" w:sz="4" w:space="0"/>
        <w:right w:val="single" w:color="99460D" w:themeColor="accent2" w:themeShade="95" w:sz="4" w:space="0"/>
        <w:insideH w:val="single" w:color="99460D" w:themeColor="accent2" w:themeShade="95" w:sz="4" w:space="0"/>
        <w:insideV w:val="single" w:color="99460D" w:themeColor="accent2"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be5d6" w:themeColor="accent2" w:themeTint="32" w:fill="fbe5d6" w:themeFill="accent2" w:themeFillTint="32"/>
      </w:tcPr>
    </w:tblStylePr>
    <w:tblStylePr w:type="band2Vert">
      <w:rPr>
        <w:rFonts w:ascii="Arial" w:hAnsi="Arial"/>
        <w:color w:val="404040"/>
        <w:sz w:val="22"/>
      </w:rPr>
      <w:tcPr>
        <w:shd w:val="clear" w:color="fbe5d6" w:themeColor="accent2" w:themeTint="32" w:fill="fbe5d6" w:themeFill="accent2" w:themeFillTint="32"/>
      </w:tcPr>
    </w:tblStylePr>
    <w:tblStylePr w:type="firstCol">
      <w:rPr>
        <w:rFonts w:ascii="Arial" w:hAnsi="Arial"/>
        <w:color w:val="f2f2f2"/>
        <w:sz w:val="22"/>
      </w:rPr>
      <w:tcPr>
        <w:shd w:val="clear" w:color="f4b184" w:themeColor="accent2" w:themeTint="97" w:fill="f4b184" w:themeFill="accent2" w:themeFillTint="97"/>
      </w:tcPr>
    </w:tblStylePr>
    <w:tblStylePr w:type="firstRow">
      <w:rPr>
        <w:rFonts w:ascii="Arial" w:hAnsi="Arial"/>
        <w:color w:val="f2f2f2"/>
        <w:sz w:val="22"/>
      </w:rPr>
      <w:tcPr>
        <w:shd w:val="clear" w:color="f4b184" w:themeColor="accent2" w:themeTint="97" w:fill="f4b184" w:themeFill="accent2" w:themeFillTint="97"/>
      </w:tcPr>
    </w:tblStylePr>
    <w:tblStylePr w:type="lastCol">
      <w:rPr>
        <w:rFonts w:ascii="Arial" w:hAnsi="Arial"/>
        <w:color w:val="f2f2f2"/>
        <w:sz w:val="22"/>
      </w:rPr>
      <w:tcPr>
        <w:shd w:val="clear" w:color="f4b184" w:themeColor="accent2" w:themeTint="97" w:fill="f4b184" w:themeFill="accent2" w:themeFillTint="97"/>
      </w:tcPr>
    </w:tblStylePr>
    <w:tblStylePr w:type="lastRow">
      <w:rPr>
        <w:rFonts w:ascii="Arial" w:hAnsi="Arial"/>
        <w:color w:val="f2f2f2"/>
        <w:sz w:val="22"/>
      </w:rPr>
      <w:tcPr>
        <w:shd w:val="clear" w:color="f4b184" w:themeColor="accent2" w:themeTint="97" w:fill="f4b184" w:themeFill="accent2" w:themeFillTint="97"/>
      </w:tcPr>
    </w:tblStylePr>
  </w:style>
  <w:style w:type="table" w:styleId="1292" w:customStyle="1">
    <w:name w:val="Bordered &amp; Lined - Accent 3"/>
    <w:basedOn w:val="1157"/>
    <w:uiPriority w:val="99"/>
    <w:pPr>
      <w:spacing w:after="0" w:line="240" w:lineRule="auto"/>
    </w:pPr>
    <w:rPr>
      <w:color w:val="404040"/>
      <w:sz w:val="20"/>
      <w:szCs w:val="20"/>
      <w:lang w:eastAsia="ru-RU"/>
    </w:rPr>
    <w:tblPr>
      <w:tblStyleRowBandSize w:val="1"/>
      <w:tblStyleColBandSize w:val="1"/>
      <w:tblBorders>
        <w:top w:val="single" w:color="606060" w:themeColor="accent3" w:themeShade="95" w:sz="4" w:space="0"/>
        <w:left w:val="single" w:color="606060" w:themeColor="accent3" w:themeShade="95" w:sz="4" w:space="0"/>
        <w:bottom w:val="single" w:color="606060" w:themeColor="accent3" w:themeShade="95" w:sz="4" w:space="0"/>
        <w:right w:val="single" w:color="606060" w:themeColor="accent3" w:themeShade="95" w:sz="4" w:space="0"/>
        <w:insideH w:val="single" w:color="606060" w:themeColor="accent3" w:themeShade="95" w:sz="4" w:space="0"/>
        <w:insideV w:val="single" w:color="606060" w:themeColor="accent3"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ececec" w:themeColor="accent3" w:themeTint="34" w:fill="ececec" w:themeFill="accent3" w:themeFillTint="34"/>
      </w:tcPr>
    </w:tblStylePr>
    <w:tblStylePr w:type="band2Vert">
      <w:rPr>
        <w:rFonts w:ascii="Arial" w:hAnsi="Arial"/>
        <w:color w:val="404040"/>
        <w:sz w:val="22"/>
      </w:rPr>
      <w:tcPr>
        <w:shd w:val="clear" w:color="ececec" w:themeColor="accent3" w:themeTint="34" w:fill="ececec" w:themeFill="accent3" w:themeFillTint="34"/>
      </w:tcPr>
    </w:tblStylePr>
    <w:tblStylePr w:type="firstCol">
      <w:rPr>
        <w:rFonts w:ascii="Arial" w:hAnsi="Arial"/>
        <w:color w:val="f2f2f2"/>
        <w:sz w:val="22"/>
      </w:rPr>
      <w:tcPr>
        <w:shd w:val="clear" w:color="a5a5a5" w:themeColor="accent3" w:themeTint="FE" w:fill="a5a5a5" w:themeFill="accent3" w:themeFillTint="FE"/>
      </w:tcPr>
    </w:tblStylePr>
    <w:tblStylePr w:type="firstRow">
      <w:rPr>
        <w:rFonts w:ascii="Arial" w:hAnsi="Arial"/>
        <w:color w:val="f2f2f2"/>
        <w:sz w:val="22"/>
      </w:rPr>
      <w:tcPr>
        <w:shd w:val="clear" w:color="a5a5a5" w:themeColor="accent3" w:themeTint="FE" w:fill="a5a5a5" w:themeFill="accent3" w:themeFillTint="FE"/>
      </w:tcPr>
    </w:tblStylePr>
    <w:tblStylePr w:type="lastCol">
      <w:rPr>
        <w:rFonts w:ascii="Arial" w:hAnsi="Arial"/>
        <w:color w:val="f2f2f2"/>
        <w:sz w:val="22"/>
      </w:rPr>
      <w:tcPr>
        <w:shd w:val="clear" w:color="a5a5a5" w:themeColor="accent3" w:themeTint="FE" w:fill="a5a5a5" w:themeFill="accent3" w:themeFillTint="FE"/>
      </w:tcPr>
    </w:tblStylePr>
    <w:tblStylePr w:type="lastRow">
      <w:rPr>
        <w:rFonts w:ascii="Arial" w:hAnsi="Arial"/>
        <w:color w:val="f2f2f2"/>
        <w:sz w:val="22"/>
      </w:rPr>
      <w:tcPr>
        <w:shd w:val="clear" w:color="a5a5a5" w:themeColor="accent3" w:themeTint="FE" w:fill="a5a5a5" w:themeFill="accent3" w:themeFillTint="FE"/>
      </w:tcPr>
    </w:tblStylePr>
  </w:style>
  <w:style w:type="table" w:styleId="1293" w:customStyle="1">
    <w:name w:val="Bordered &amp; Lined - Accent 4"/>
    <w:basedOn w:val="1157"/>
    <w:uiPriority w:val="99"/>
    <w:pPr>
      <w:spacing w:after="0" w:line="240" w:lineRule="auto"/>
    </w:pPr>
    <w:rPr>
      <w:color w:val="404040"/>
      <w:sz w:val="20"/>
      <w:szCs w:val="20"/>
      <w:lang w:eastAsia="ru-RU"/>
    </w:rPr>
    <w:tblPr>
      <w:tblStyleRowBandSize w:val="1"/>
      <w:tblStyleColBandSize w:val="1"/>
      <w:tblBorders>
        <w:top w:val="single" w:color="957000" w:themeColor="accent4" w:themeShade="95" w:sz="4" w:space="0"/>
        <w:left w:val="single" w:color="957000" w:themeColor="accent4" w:themeShade="95" w:sz="4" w:space="0"/>
        <w:bottom w:val="single" w:color="957000" w:themeColor="accent4" w:themeShade="95" w:sz="4" w:space="0"/>
        <w:right w:val="single" w:color="957000" w:themeColor="accent4" w:themeShade="95" w:sz="4" w:space="0"/>
        <w:insideH w:val="single" w:color="957000" w:themeColor="accent4" w:themeShade="95" w:sz="4" w:space="0"/>
        <w:insideV w:val="single" w:color="957000" w:themeColor="accent4"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2cb" w:themeColor="accent4" w:themeTint="34" w:fill="fff2cb" w:themeFill="accent4" w:themeFillTint="34"/>
      </w:tcPr>
    </w:tblStylePr>
    <w:tblStylePr w:type="band2Vert">
      <w:rPr>
        <w:rFonts w:ascii="Arial" w:hAnsi="Arial"/>
        <w:color w:val="404040"/>
        <w:sz w:val="22"/>
      </w:rPr>
      <w:tcPr>
        <w:shd w:val="clear" w:color="fff2cb" w:themeColor="accent4" w:themeTint="34" w:fill="fff2cb" w:themeFill="accent4" w:themeFillTint="34"/>
      </w:tcPr>
    </w:tblStylePr>
    <w:tblStylePr w:type="firstCol">
      <w:rPr>
        <w:rFonts w:ascii="Arial" w:hAnsi="Arial"/>
        <w:color w:val="f2f2f2"/>
        <w:sz w:val="22"/>
      </w:rPr>
      <w:tcPr>
        <w:shd w:val="clear" w:color="ffd865" w:themeColor="accent4" w:themeTint="9A" w:fill="ffd865" w:themeFill="accent4" w:themeFillTint="9A"/>
      </w:tcPr>
    </w:tblStylePr>
    <w:tblStylePr w:type="firstRow">
      <w:rPr>
        <w:rFonts w:ascii="Arial" w:hAnsi="Arial"/>
        <w:color w:val="f2f2f2"/>
        <w:sz w:val="22"/>
      </w:rPr>
      <w:tcPr>
        <w:shd w:val="clear" w:color="ffd865" w:themeColor="accent4" w:themeTint="9A" w:fill="ffd865" w:themeFill="accent4" w:themeFillTint="9A"/>
      </w:tcPr>
    </w:tblStylePr>
    <w:tblStylePr w:type="lastCol">
      <w:rPr>
        <w:rFonts w:ascii="Arial" w:hAnsi="Arial"/>
        <w:color w:val="f2f2f2"/>
        <w:sz w:val="22"/>
      </w:rPr>
      <w:tcPr>
        <w:shd w:val="clear" w:color="ffd865" w:themeColor="accent4" w:themeTint="9A" w:fill="ffd865" w:themeFill="accent4" w:themeFillTint="9A"/>
      </w:tcPr>
    </w:tblStylePr>
    <w:tblStylePr w:type="lastRow">
      <w:rPr>
        <w:rFonts w:ascii="Arial" w:hAnsi="Arial"/>
        <w:color w:val="f2f2f2"/>
        <w:sz w:val="22"/>
      </w:rPr>
      <w:tcPr>
        <w:shd w:val="clear" w:color="ffd865" w:themeColor="accent4" w:themeTint="9A" w:fill="ffd865" w:themeFill="accent4" w:themeFillTint="9A"/>
      </w:tcPr>
    </w:tblStylePr>
  </w:style>
  <w:style w:type="table" w:styleId="1294" w:customStyle="1">
    <w:name w:val="Bordered &amp; Lined - Accent 5"/>
    <w:basedOn w:val="1157"/>
    <w:uiPriority w:val="99"/>
    <w:pPr>
      <w:spacing w:after="0" w:line="240" w:lineRule="auto"/>
    </w:pPr>
    <w:rPr>
      <w:color w:val="404040"/>
      <w:sz w:val="20"/>
      <w:szCs w:val="20"/>
      <w:lang w:eastAsia="ru-RU"/>
    </w:rPr>
    <w:tblPr>
      <w:tblStyleRowBandSize w:val="1"/>
      <w:tblStyleColBandSize w:val="1"/>
      <w:tblBorders>
        <w:top w:val="single" w:color="254175" w:themeColor="accent5" w:themeShade="95" w:sz="4" w:space="0"/>
        <w:left w:val="single" w:color="254175" w:themeColor="accent5" w:themeShade="95" w:sz="4" w:space="0"/>
        <w:bottom w:val="single" w:color="254175" w:themeColor="accent5" w:themeShade="95" w:sz="4" w:space="0"/>
        <w:right w:val="single" w:color="254175" w:themeColor="accent5" w:themeShade="95" w:sz="4" w:space="0"/>
        <w:insideH w:val="single" w:color="254175" w:themeColor="accent5" w:themeShade="95" w:sz="4" w:space="0"/>
        <w:insideV w:val="single" w:color="254175" w:themeColor="accent5"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d8e2f3" w:themeColor="accent5" w:themeTint="34" w:fill="d8e2f3" w:themeFill="accent5" w:themeFillTint="34"/>
      </w:tcPr>
    </w:tblStylePr>
    <w:tblStylePr w:type="band2Vert">
      <w:rPr>
        <w:rFonts w:ascii="Arial" w:hAnsi="Arial"/>
        <w:color w:val="404040"/>
        <w:sz w:val="22"/>
      </w:rPr>
      <w:tcPr>
        <w:shd w:val="clear" w:color="d8e2f3" w:themeColor="accent5" w:themeTint="34" w:fill="d8e2f3" w:themeFill="accent5" w:themeFillTint="34"/>
      </w:tcPr>
    </w:tblStylePr>
    <w:tblStylePr w:type="firstCol">
      <w:rPr>
        <w:rFonts w:ascii="Arial" w:hAnsi="Arial"/>
        <w:color w:val="f2f2f2"/>
        <w:sz w:val="22"/>
      </w:rPr>
      <w:tcPr>
        <w:shd w:val="clear" w:color="4472c4" w:themeColor="accent5" w:fill="4472c4" w:themeFill="accent5"/>
      </w:tcPr>
    </w:tblStylePr>
    <w:tblStylePr w:type="firstRow">
      <w:rPr>
        <w:rFonts w:ascii="Arial" w:hAnsi="Arial"/>
        <w:color w:val="f2f2f2"/>
        <w:sz w:val="22"/>
      </w:rPr>
      <w:tcPr>
        <w:shd w:val="clear" w:color="4472c4" w:themeColor="accent5" w:fill="4472c4" w:themeFill="accent5"/>
      </w:tcPr>
    </w:tblStylePr>
    <w:tblStylePr w:type="lastCol">
      <w:rPr>
        <w:rFonts w:ascii="Arial" w:hAnsi="Arial"/>
        <w:color w:val="f2f2f2"/>
        <w:sz w:val="22"/>
      </w:rPr>
      <w:tcPr>
        <w:shd w:val="clear" w:color="4472c4" w:themeColor="accent5" w:fill="4472c4" w:themeFill="accent5"/>
      </w:tcPr>
    </w:tblStylePr>
    <w:tblStylePr w:type="lastRow">
      <w:rPr>
        <w:rFonts w:ascii="Arial" w:hAnsi="Arial"/>
        <w:color w:val="f2f2f2"/>
        <w:sz w:val="22"/>
      </w:rPr>
      <w:tcPr>
        <w:shd w:val="clear" w:color="4472c4" w:themeColor="accent5" w:fill="4472c4" w:themeFill="accent5"/>
      </w:tcPr>
    </w:tblStylePr>
  </w:style>
  <w:style w:type="table" w:styleId="1295" w:customStyle="1">
    <w:name w:val="Bordered &amp; Lined - Accent 6"/>
    <w:basedOn w:val="1157"/>
    <w:uiPriority w:val="99"/>
    <w:pPr>
      <w:spacing w:after="0" w:line="240" w:lineRule="auto"/>
    </w:pPr>
    <w:rPr>
      <w:color w:val="404040"/>
      <w:sz w:val="20"/>
      <w:szCs w:val="20"/>
      <w:lang w:eastAsia="ru-RU"/>
    </w:rPr>
    <w:tblPr>
      <w:tblStyleRowBandSize w:val="1"/>
      <w:tblStyleColBandSize w:val="1"/>
      <w:tblBorders>
        <w:top w:val="single" w:color="416429" w:themeColor="accent6" w:themeShade="95" w:sz="4" w:space="0"/>
        <w:left w:val="single" w:color="416429" w:themeColor="accent6" w:themeShade="95" w:sz="4" w:space="0"/>
        <w:bottom w:val="single" w:color="416429" w:themeColor="accent6" w:themeShade="95" w:sz="4" w:space="0"/>
        <w:right w:val="single" w:color="416429" w:themeColor="accent6" w:themeShade="95" w:sz="4" w:space="0"/>
        <w:insideH w:val="single" w:color="416429" w:themeColor="accent6" w:themeShade="95" w:sz="4" w:space="0"/>
        <w:insideV w:val="single" w:color="416429" w:themeColor="accent6"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e1efd8" w:themeColor="accent6" w:themeTint="34" w:fill="e1efd8" w:themeFill="accent6" w:themeFillTint="34"/>
      </w:tcPr>
    </w:tblStylePr>
    <w:tblStylePr w:type="band2Vert">
      <w:rPr>
        <w:rFonts w:ascii="Arial" w:hAnsi="Arial"/>
        <w:color w:val="404040"/>
        <w:sz w:val="22"/>
      </w:rPr>
      <w:tcPr>
        <w:shd w:val="clear" w:color="e1efd8" w:themeColor="accent6" w:themeTint="34" w:fill="e1efd8" w:themeFill="accent6" w:themeFillTint="34"/>
      </w:tcPr>
    </w:tblStylePr>
    <w:tblStylePr w:type="firstCol">
      <w:rPr>
        <w:rFonts w:ascii="Arial" w:hAnsi="Arial"/>
        <w:color w:val="f2f2f2"/>
        <w:sz w:val="22"/>
      </w:rPr>
      <w:tcPr>
        <w:shd w:val="clear" w:color="70ad47" w:themeColor="accent6" w:fill="70ad47" w:themeFill="accent6"/>
      </w:tcPr>
    </w:tblStylePr>
    <w:tblStylePr w:type="firstRow">
      <w:rPr>
        <w:rFonts w:ascii="Arial" w:hAnsi="Arial"/>
        <w:color w:val="f2f2f2"/>
        <w:sz w:val="22"/>
      </w:rPr>
      <w:tcPr>
        <w:shd w:val="clear" w:color="70ad47" w:themeColor="accent6" w:fill="70ad47" w:themeFill="accent6"/>
      </w:tcPr>
    </w:tblStylePr>
    <w:tblStylePr w:type="lastCol">
      <w:rPr>
        <w:rFonts w:ascii="Arial" w:hAnsi="Arial"/>
        <w:color w:val="f2f2f2"/>
        <w:sz w:val="22"/>
      </w:rPr>
      <w:tcPr>
        <w:shd w:val="clear" w:color="70ad47" w:themeColor="accent6" w:fill="70ad47" w:themeFill="accent6"/>
      </w:tcPr>
    </w:tblStylePr>
    <w:tblStylePr w:type="lastRow">
      <w:rPr>
        <w:rFonts w:ascii="Arial" w:hAnsi="Arial"/>
        <w:color w:val="f2f2f2"/>
        <w:sz w:val="22"/>
      </w:rPr>
      <w:tcPr>
        <w:shd w:val="clear" w:color="70ad47" w:themeColor="accent6" w:fill="70ad47" w:themeFill="accent6"/>
      </w:tcPr>
    </w:tblStylePr>
  </w:style>
  <w:style w:type="table" w:styleId="1296" w:customStyle="1">
    <w:name w:val="Bordered"/>
    <w:basedOn w:val="1157"/>
    <w:uiPriority w:val="99"/>
    <w:pPr>
      <w:spacing w:after="0" w:line="240" w:lineRule="auto"/>
    </w:pPr>
    <w:tblPr>
      <w:tblStyleRowBandSize w:val="1"/>
      <w:tblStyleColBandSize w:val="1"/>
      <w:tbl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insideH w:val="single" w:color="D9D9D9" w:themeColor="text1" w:themeTint="26" w:sz="4" w:space="0"/>
        <w:insideV w:val="single" w:color="D9D9D9" w:themeColor="text1" w:themeTint="26" w:sz="4" w:space="0"/>
      </w:tblBorders>
    </w:tblPr>
    <w:tblStylePr w:type="band1Horz">
      <w:rPr>
        <w:rFonts w:ascii="Arial" w:hAnsi="Arial"/>
        <w:color w:val="404040"/>
        <w:sz w:val="22"/>
      </w:rPr>
      <w:tcPr>
        <w:tc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7F7F7F" w:themeColor="text1" w:themeTint="80" w:sz="12" w:space="0"/>
        </w:tcBorders>
      </w:tcPr>
    </w:tblStylePr>
    <w:tblStylePr w:type="lastCol">
      <w:rPr>
        <w:rFonts w:ascii="Arial" w:hAnsi="Arial"/>
        <w:color w:val="404040"/>
        <w:sz w:val="22"/>
      </w:rPr>
      <w:tcPr>
        <w:tcBorders>
          <w:left w:val="single" w:color="7F7F7F" w:themeColor="text1" w:themeTint="80" w:sz="12" w:space="0"/>
        </w:tcBorders>
      </w:tcPr>
    </w:tblStylePr>
    <w:tblStylePr w:type="lastRow">
      <w:rPr>
        <w:rFonts w:ascii="Arial" w:hAnsi="Arial"/>
        <w:color w:val="404040"/>
        <w:sz w:val="22"/>
      </w:rPr>
      <w:tcPr>
        <w:tcBorders>
          <w:top w:val="single" w:color="7F7F7F" w:themeColor="text1" w:themeTint="80" w:sz="12" w:space="0"/>
        </w:tcBorders>
      </w:tcPr>
    </w:tblStylePr>
  </w:style>
  <w:style w:type="table" w:styleId="1297" w:customStyle="1">
    <w:name w:val="Bordered - Accent 1"/>
    <w:basedOn w:val="1157"/>
    <w:uiPriority w:val="99"/>
    <w:pPr>
      <w:spacing w:after="0" w:line="240" w:lineRule="auto"/>
    </w:pPr>
    <w:tblPr>
      <w:tblStyleRowBandSize w:val="1"/>
      <w:tblStyleColBandSize w:val="1"/>
      <w:tbl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insideH w:val="single" w:color="BCD6EE" w:themeColor="accent1" w:themeTint="67" w:sz="4" w:space="0"/>
        <w:insideV w:val="single" w:color="BCD6EE" w:themeColor="accent1" w:themeTint="67" w:sz="4" w:space="0"/>
      </w:tblBorders>
    </w:tblPr>
    <w:tblStylePr w:type="band1Horz">
      <w:rPr>
        <w:rFonts w:ascii="Arial" w:hAnsi="Arial"/>
        <w:color w:val="404040"/>
        <w:sz w:val="22"/>
      </w:rPr>
      <w:tcPr>
        <w:tc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5B9BD5" w:themeColor="accent1" w:sz="12" w:space="0"/>
        </w:tcBorders>
      </w:tcPr>
    </w:tblStylePr>
    <w:tblStylePr w:type="lastCol">
      <w:rPr>
        <w:rFonts w:ascii="Arial" w:hAnsi="Arial"/>
        <w:color w:val="404040"/>
        <w:sz w:val="22"/>
      </w:rPr>
      <w:tcPr>
        <w:tcBorders>
          <w:left w:val="single" w:color="5B9BD5" w:themeColor="accent1" w:sz="12" w:space="0"/>
        </w:tcBorders>
      </w:tcPr>
    </w:tblStylePr>
    <w:tblStylePr w:type="lastRow">
      <w:rPr>
        <w:rFonts w:ascii="Arial" w:hAnsi="Arial"/>
        <w:color w:val="404040"/>
        <w:sz w:val="22"/>
      </w:rPr>
      <w:tcPr>
        <w:tcBorders>
          <w:top w:val="single" w:color="5B9BD5" w:themeColor="accent1" w:sz="12" w:space="0"/>
        </w:tcBorders>
      </w:tcPr>
    </w:tblStylePr>
  </w:style>
  <w:style w:type="table" w:styleId="1298" w:customStyle="1">
    <w:name w:val="Bordered - Accent 2"/>
    <w:basedOn w:val="1157"/>
    <w:uiPriority w:val="99"/>
    <w:pPr>
      <w:spacing w:after="0" w:line="240" w:lineRule="auto"/>
    </w:pPr>
    <w:tblPr>
      <w:tblStyleRowBandSize w:val="1"/>
      <w:tblStyleColBandSize w:val="1"/>
      <w:tbl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insideH w:val="single" w:color="F7CAAB" w:themeColor="accent2" w:themeTint="67" w:sz="4" w:space="0"/>
        <w:insideV w:val="single" w:color="F7CAAB" w:themeColor="accent2" w:themeTint="67" w:sz="4" w:space="0"/>
      </w:tblBorders>
    </w:tblPr>
    <w:tblStylePr w:type="band1Horz">
      <w:rPr>
        <w:rFonts w:ascii="Arial" w:hAnsi="Arial"/>
        <w:color w:val="404040"/>
        <w:sz w:val="22"/>
      </w:rPr>
      <w:tcPr>
        <w:tc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F4B184" w:themeColor="accent2" w:themeTint="97" w:sz="12" w:space="0"/>
        </w:tcBorders>
      </w:tcPr>
    </w:tblStylePr>
    <w:tblStylePr w:type="lastCol">
      <w:rPr>
        <w:rFonts w:ascii="Arial" w:hAnsi="Arial"/>
        <w:color w:val="404040"/>
        <w:sz w:val="22"/>
      </w:rPr>
      <w:tcPr>
        <w:tcBorders>
          <w:left w:val="single" w:color="F4B184" w:themeColor="accent2" w:themeTint="97" w:sz="12" w:space="0"/>
        </w:tcBorders>
      </w:tcPr>
    </w:tblStylePr>
    <w:tblStylePr w:type="lastRow">
      <w:rPr>
        <w:rFonts w:ascii="Arial" w:hAnsi="Arial"/>
        <w:color w:val="404040"/>
        <w:sz w:val="22"/>
      </w:rPr>
      <w:tcPr>
        <w:tcBorders>
          <w:top w:val="single" w:color="F4B184" w:themeColor="accent2" w:themeTint="97" w:sz="12" w:space="0"/>
        </w:tcBorders>
      </w:tcPr>
    </w:tblStylePr>
  </w:style>
  <w:style w:type="table" w:styleId="1299" w:customStyle="1">
    <w:name w:val="Bordered - Accent 3"/>
    <w:basedOn w:val="1157"/>
    <w:uiPriority w:val="99"/>
    <w:pPr>
      <w:spacing w:after="0" w:line="240" w:lineRule="auto"/>
    </w:pPr>
    <w:tblPr>
      <w:tblStyleRowBandSize w:val="1"/>
      <w:tblStyleColBandSize w:val="1"/>
      <w:tbl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insideH w:val="single" w:color="DADADA" w:themeColor="accent3" w:themeTint="67" w:sz="4" w:space="0"/>
        <w:insideV w:val="single" w:color="DADADA" w:themeColor="accent3" w:themeTint="67" w:sz="4" w:space="0"/>
      </w:tblBorders>
    </w:tblPr>
    <w:tblStylePr w:type="band1Horz">
      <w:rPr>
        <w:rFonts w:ascii="Arial" w:hAnsi="Arial"/>
        <w:color w:val="404040"/>
        <w:sz w:val="22"/>
      </w:rPr>
      <w:tcPr>
        <w:tc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C9C9C9" w:themeColor="accent3" w:themeTint="98" w:sz="12" w:space="0"/>
        </w:tcBorders>
      </w:tcPr>
    </w:tblStylePr>
    <w:tblStylePr w:type="lastCol">
      <w:rPr>
        <w:rFonts w:ascii="Arial" w:hAnsi="Arial"/>
        <w:color w:val="404040"/>
        <w:sz w:val="22"/>
      </w:rPr>
      <w:tcPr>
        <w:tcBorders>
          <w:left w:val="single" w:color="C9C9C9" w:themeColor="accent3" w:themeTint="98" w:sz="12" w:space="0"/>
        </w:tcBorders>
      </w:tcPr>
    </w:tblStylePr>
    <w:tblStylePr w:type="lastRow">
      <w:rPr>
        <w:rFonts w:ascii="Arial" w:hAnsi="Arial"/>
        <w:color w:val="404040"/>
        <w:sz w:val="22"/>
      </w:rPr>
      <w:tcPr>
        <w:tcBorders>
          <w:top w:val="single" w:color="C9C9C9" w:themeColor="accent3" w:themeTint="98" w:sz="12" w:space="0"/>
        </w:tcBorders>
      </w:tcPr>
    </w:tblStylePr>
  </w:style>
  <w:style w:type="table" w:styleId="1300" w:customStyle="1">
    <w:name w:val="Bordered - Accent 4"/>
    <w:basedOn w:val="1157"/>
    <w:uiPriority w:val="99"/>
    <w:pPr>
      <w:spacing w:after="0" w:line="240" w:lineRule="auto"/>
    </w:pPr>
    <w:tblPr>
      <w:tblStyleRowBandSize w:val="1"/>
      <w:tblStyleColBandSize w:val="1"/>
      <w:tbl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insideH w:val="single" w:color="FFE598" w:themeColor="accent4" w:themeTint="67" w:sz="4" w:space="0"/>
        <w:insideV w:val="single" w:color="FFE598" w:themeColor="accent4" w:themeTint="67" w:sz="4" w:space="0"/>
      </w:tblBorders>
    </w:tblPr>
    <w:tblStylePr w:type="band1Horz">
      <w:rPr>
        <w:rFonts w:ascii="Arial" w:hAnsi="Arial"/>
        <w:color w:val="404040"/>
        <w:sz w:val="22"/>
      </w:rPr>
      <w:tcPr>
        <w:tc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FFD865" w:themeColor="accent4" w:themeTint="9A" w:sz="12" w:space="0"/>
        </w:tcBorders>
      </w:tcPr>
    </w:tblStylePr>
    <w:tblStylePr w:type="lastCol">
      <w:rPr>
        <w:rFonts w:ascii="Arial" w:hAnsi="Arial"/>
        <w:color w:val="404040"/>
        <w:sz w:val="22"/>
      </w:rPr>
      <w:tcPr>
        <w:tcBorders>
          <w:left w:val="single" w:color="FFD865" w:themeColor="accent4" w:themeTint="9A" w:sz="12" w:space="0"/>
        </w:tcBorders>
      </w:tcPr>
    </w:tblStylePr>
    <w:tblStylePr w:type="lastRow">
      <w:rPr>
        <w:rFonts w:ascii="Arial" w:hAnsi="Arial"/>
        <w:color w:val="404040"/>
        <w:sz w:val="22"/>
      </w:rPr>
      <w:tcPr>
        <w:tcBorders>
          <w:top w:val="single" w:color="FFD865" w:themeColor="accent4" w:themeTint="9A" w:sz="12" w:space="0"/>
        </w:tcBorders>
      </w:tcPr>
    </w:tblStylePr>
  </w:style>
  <w:style w:type="table" w:styleId="1301" w:customStyle="1">
    <w:name w:val="Bordered - Accent 5"/>
    <w:basedOn w:val="1157"/>
    <w:uiPriority w:val="99"/>
    <w:pPr>
      <w:spacing w:after="0" w:line="240" w:lineRule="auto"/>
    </w:pPr>
    <w:tblPr>
      <w:tblStyleRowBandSize w:val="1"/>
      <w:tblStyleColBandSize w:val="1"/>
      <w:tblBorders>
        <w:top w:val="single" w:color="B3C5E7" w:themeColor="accent5" w:themeTint="67" w:sz="4" w:space="0"/>
        <w:left w:val="single" w:color="B3C5E7" w:themeColor="accent5" w:themeTint="67" w:sz="4" w:space="0"/>
        <w:bottom w:val="single" w:color="B3C5E7" w:themeColor="accent5" w:themeTint="67" w:sz="4" w:space="0"/>
        <w:right w:val="single" w:color="B3C5E7" w:themeColor="accent5" w:themeTint="67" w:sz="4" w:space="0"/>
        <w:insideH w:val="single" w:color="B3C5E7" w:themeColor="accent5" w:themeTint="67" w:sz="4" w:space="0"/>
        <w:insideV w:val="single" w:color="B3C5E7" w:themeColor="accent5" w:themeTint="67" w:sz="4" w:space="0"/>
      </w:tblBorders>
    </w:tblPr>
    <w:tblStylePr w:type="band1Horz">
      <w:rPr>
        <w:rFonts w:ascii="Arial" w:hAnsi="Arial"/>
        <w:color w:val="404040"/>
        <w:sz w:val="22"/>
      </w:rPr>
      <w:tcPr>
        <w:tcBorders>
          <w:top w:val="single" w:color="B3C5E7" w:themeColor="accent5" w:themeTint="67" w:sz="4" w:space="0"/>
          <w:left w:val="single" w:color="B3C5E7" w:themeColor="accent5" w:themeTint="67" w:sz="4" w:space="0"/>
          <w:bottom w:val="single" w:color="B3C5E7" w:themeColor="accent5" w:themeTint="67" w:sz="4" w:space="0"/>
          <w:right w:val="single" w:color="B3C5E7" w:themeColor="accent5"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8DA9DB" w:themeColor="accent5" w:themeTint="9A" w:sz="12" w:space="0"/>
        </w:tcBorders>
      </w:tcPr>
    </w:tblStylePr>
    <w:tblStylePr w:type="lastCol">
      <w:rPr>
        <w:rFonts w:ascii="Arial" w:hAnsi="Arial"/>
        <w:color w:val="404040"/>
        <w:sz w:val="22"/>
      </w:rPr>
      <w:tcPr>
        <w:tcBorders>
          <w:left w:val="single" w:color="8DA9DB" w:themeColor="accent5" w:themeTint="9A" w:sz="12" w:space="0"/>
        </w:tcBorders>
      </w:tcPr>
    </w:tblStylePr>
    <w:tblStylePr w:type="lastRow">
      <w:rPr>
        <w:rFonts w:ascii="Arial" w:hAnsi="Arial"/>
        <w:color w:val="404040"/>
        <w:sz w:val="22"/>
      </w:rPr>
      <w:tcPr>
        <w:tcBorders>
          <w:top w:val="single" w:color="8DA9DB" w:themeColor="accent5" w:themeTint="9A" w:sz="12" w:space="0"/>
        </w:tcBorders>
      </w:tcPr>
    </w:tblStylePr>
  </w:style>
  <w:style w:type="table" w:styleId="1302" w:customStyle="1">
    <w:name w:val="Bordered - Accent 6"/>
    <w:basedOn w:val="1157"/>
    <w:uiPriority w:val="99"/>
    <w:pPr>
      <w:spacing w:after="0" w:line="240" w:lineRule="auto"/>
    </w:pPr>
    <w:tblPr>
      <w:tblStyleRowBandSize w:val="1"/>
      <w:tblStyleColBandSize w:val="1"/>
      <w:tbl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insideH w:val="single" w:color="C4DFB2" w:themeColor="accent6" w:themeTint="67" w:sz="4" w:space="0"/>
        <w:insideV w:val="single" w:color="C4DFB2" w:themeColor="accent6" w:themeTint="67" w:sz="4" w:space="0"/>
      </w:tblBorders>
    </w:tblPr>
    <w:tblStylePr w:type="band1Horz">
      <w:rPr>
        <w:rFonts w:ascii="Arial" w:hAnsi="Arial"/>
        <w:color w:val="404040"/>
        <w:sz w:val="22"/>
      </w:rPr>
      <w:tcPr>
        <w:tc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A9D08E" w:themeColor="accent6" w:themeTint="98" w:sz="12" w:space="0"/>
        </w:tcBorders>
      </w:tcPr>
    </w:tblStylePr>
    <w:tblStylePr w:type="lastCol">
      <w:rPr>
        <w:rFonts w:ascii="Arial" w:hAnsi="Arial"/>
        <w:color w:val="404040"/>
        <w:sz w:val="22"/>
      </w:rPr>
      <w:tcPr>
        <w:tcBorders>
          <w:left w:val="single" w:color="A9D08E" w:themeColor="accent6" w:themeTint="98" w:sz="12" w:space="0"/>
        </w:tcBorders>
      </w:tcPr>
    </w:tblStylePr>
    <w:tblStylePr w:type="lastRow">
      <w:rPr>
        <w:rFonts w:ascii="Arial" w:hAnsi="Arial"/>
        <w:color w:val="404040"/>
        <w:sz w:val="22"/>
      </w:rPr>
      <w:tcPr>
        <w:tcBorders>
          <w:top w:val="single" w:color="A9D08E" w:themeColor="accent6" w:themeTint="98" w:sz="12" w:space="0"/>
        </w:tcBorders>
      </w:tcPr>
    </w:tblStylePr>
  </w:style>
  <w:style w:type="character" w:styleId="1303" w:customStyle="1">
    <w:name w:val="Footnote Text Char"/>
    <w:uiPriority w:val="99"/>
    <w:rPr>
      <w:sz w:val="18"/>
    </w:rPr>
  </w:style>
  <w:style w:type="character" w:styleId="1304" w:customStyle="1">
    <w:name w:val="Endnote Text Char"/>
    <w:uiPriority w:val="99"/>
    <w:rPr>
      <w:sz w:val="20"/>
    </w:rPr>
  </w:style>
  <w:style w:type="paragraph" w:styleId="1305">
    <w:name w:val="table of figures"/>
    <w:basedOn w:val="1146"/>
    <w:next w:val="1146"/>
    <w:uiPriority w:val="99"/>
    <w:unhideWhenUsed/>
    <w:pPr>
      <w:spacing w:after="0"/>
    </w:pPr>
  </w:style>
  <w:style w:type="character" w:styleId="1306" w:customStyle="1">
    <w:name w:val="Заголовок 1 Знак"/>
    <w:basedOn w:val="1156"/>
    <w:link w:val="1147"/>
    <w:rPr>
      <w:rFonts w:ascii="Verdana" w:hAnsi="Verdana" w:eastAsia="Arial Unicode MS" w:cs="Arial Unicode MS"/>
      <w:color w:val="000000"/>
      <w:sz w:val="20"/>
      <w:szCs w:val="20"/>
      <w:lang w:val="en-US" w:eastAsia="ru-RU"/>
    </w:rPr>
  </w:style>
  <w:style w:type="character" w:styleId="1307" w:customStyle="1">
    <w:name w:val="Заголовок 2 Знак"/>
    <w:basedOn w:val="1156"/>
    <w:link w:val="1148"/>
    <w:rPr>
      <w:rFonts w:ascii="Cambria" w:hAnsi="Cambria" w:eastAsia="Cambria" w:cs="Cambria"/>
      <w:b/>
      <w:bCs/>
      <w:i/>
      <w:iCs/>
      <w:color w:val="000000"/>
      <w:sz w:val="28"/>
      <w:szCs w:val="28"/>
      <w:lang w:eastAsia="ru-RU"/>
    </w:rPr>
  </w:style>
  <w:style w:type="character" w:styleId="1308" w:customStyle="1">
    <w:name w:val="Заголовок 3 Знак"/>
    <w:basedOn w:val="1156"/>
    <w:link w:val="1149"/>
    <w:rPr>
      <w:rFonts w:ascii="Times New Roman" w:hAnsi="Times New Roman" w:eastAsia="Calibri" w:cs="Times New Roman"/>
      <w:b/>
      <w:bCs/>
      <w:sz w:val="28"/>
      <w:szCs w:val="28"/>
    </w:rPr>
  </w:style>
  <w:style w:type="character" w:styleId="1309" w:customStyle="1">
    <w:name w:val="Заголовок 4 Знак"/>
    <w:basedOn w:val="1156"/>
    <w:link w:val="1150"/>
    <w:rPr>
      <w:rFonts w:ascii="Times New Roman" w:hAnsi="Times New Roman" w:eastAsia="Times New Roman" w:cs="Times New Roman"/>
      <w:b/>
      <w:bCs/>
      <w:i/>
      <w:iCs/>
      <w:color w:val="000000"/>
      <w:sz w:val="28"/>
      <w:szCs w:val="28"/>
      <w:lang w:eastAsia="ru-RU"/>
    </w:rPr>
  </w:style>
  <w:style w:type="character" w:styleId="1310" w:customStyle="1">
    <w:name w:val="Заголовок 5 Знак"/>
    <w:basedOn w:val="1156"/>
    <w:link w:val="1151"/>
    <w:rPr>
      <w:rFonts w:asciiTheme="majorHAnsi" w:hAnsiTheme="majorHAnsi" w:eastAsiaTheme="majorEastAsia" w:cstheme="majorBidi"/>
      <w:color w:val="1f4d78" w:themeColor="accent1" w:themeShade="7F"/>
    </w:rPr>
  </w:style>
  <w:style w:type="character" w:styleId="1311" w:customStyle="1">
    <w:name w:val="Заголовок 6 Знак"/>
    <w:basedOn w:val="1156"/>
    <w:link w:val="1152"/>
    <w:rPr>
      <w:rFonts w:asciiTheme="majorHAnsi" w:hAnsiTheme="majorHAnsi" w:eastAsiaTheme="majorEastAsia" w:cstheme="majorBidi"/>
      <w:i/>
      <w:iCs/>
      <w:color w:val="1f4d78" w:themeColor="accent1" w:themeShade="7F"/>
    </w:rPr>
  </w:style>
  <w:style w:type="character" w:styleId="1312" w:customStyle="1">
    <w:name w:val="Заголовок 7 Знак"/>
    <w:basedOn w:val="1156"/>
    <w:link w:val="1153"/>
    <w:rPr>
      <w:rFonts w:ascii="Times New Roman" w:hAnsi="Times New Roman" w:eastAsia="Calibri" w:cs="Times New Roman"/>
      <w:sz w:val="26"/>
      <w:szCs w:val="26"/>
    </w:rPr>
  </w:style>
  <w:style w:type="character" w:styleId="1313" w:customStyle="1">
    <w:name w:val="Заголовок 8 Знак"/>
    <w:basedOn w:val="1156"/>
    <w:link w:val="1154"/>
    <w:rPr>
      <w:rFonts w:ascii="Times New Roman" w:hAnsi="Times New Roman" w:eastAsia="Times New Roman" w:cs="Times New Roman"/>
      <w:i/>
      <w:iCs/>
      <w:sz w:val="26"/>
      <w:szCs w:val="26"/>
    </w:rPr>
  </w:style>
  <w:style w:type="character" w:styleId="1314" w:customStyle="1">
    <w:name w:val="Заголовок 9 Знак"/>
    <w:basedOn w:val="1156"/>
    <w:link w:val="1155"/>
    <w:rPr>
      <w:rFonts w:ascii="Arial" w:hAnsi="Arial" w:eastAsia="Times New Roman" w:cs="Times New Roman"/>
    </w:rPr>
  </w:style>
  <w:style w:type="paragraph" w:styleId="1315">
    <w:name w:val="List Paragraph"/>
    <w:basedOn w:val="1146"/>
    <w:link w:val="1428"/>
    <w:uiPriority w:val="34"/>
    <w:qFormat/>
    <w:pPr>
      <w:contextualSpacing/>
      <w:ind w:left="720"/>
      <w:spacing w:after="0" w:line="240" w:lineRule="auto"/>
      <w:widowControl w:val="off"/>
    </w:pPr>
    <w:rPr>
      <w:rFonts w:ascii="Arial" w:hAnsi="Arial" w:eastAsia="Times New Roman" w:cs="Arial"/>
      <w:sz w:val="20"/>
      <w:szCs w:val="20"/>
      <w:lang w:eastAsia="ru-RU"/>
    </w:rPr>
  </w:style>
  <w:style w:type="character" w:styleId="1316">
    <w:name w:val="Hyperlink"/>
    <w:rPr>
      <w:u w:val="single"/>
    </w:rPr>
  </w:style>
  <w:style w:type="table" w:styleId="1317" w:customStyle="1">
    <w:name w:val="Table Normal"/>
    <w:pPr>
      <w:spacing w:after="0" w:line="240" w:lineRule="auto"/>
      <w:pBdr>
        <w:top w:val="none" w:color="000000" w:sz="4" w:space="0"/>
        <w:left w:val="none" w:color="000000" w:sz="4" w:space="0"/>
        <w:bottom w:val="none" w:color="000000" w:sz="4" w:space="0"/>
        <w:right w:val="none" w:color="000000" w:sz="4" w:space="0"/>
        <w:between w:val="none" w:color="000000" w:sz="4" w:space="0"/>
      </w:pBdr>
    </w:pPr>
    <w:rPr>
      <w:rFonts w:ascii="Times New Roman" w:hAnsi="Times New Roman" w:eastAsia="Arial Unicode MS" w:cs="Times New Roman"/>
      <w:sz w:val="20"/>
      <w:szCs w:val="20"/>
      <w:lang w:eastAsia="ru-RU"/>
    </w:rPr>
    <w:tblPr>
      <w:tblInd w:w="0" w:type="dxa"/>
      <w:tblCellMar>
        <w:left w:w="0" w:type="dxa"/>
        <w:top w:w="0" w:type="dxa"/>
        <w:right w:w="0" w:type="dxa"/>
        <w:bottom w:w="0" w:type="dxa"/>
      </w:tblCellMar>
    </w:tblPr>
  </w:style>
  <w:style w:type="paragraph" w:styleId="1318" w:customStyle="1">
    <w:name w:val="Колонтитулы"/>
    <w:pPr>
      <w:spacing w:after="0" w:line="240" w:lineRule="auto"/>
      <w:tabs>
        <w:tab w:val="right" w:pos="9020" w:leader="none"/>
      </w:tabs>
      <w:pBdr>
        <w:top w:val="none" w:color="000000" w:sz="4" w:space="0"/>
        <w:left w:val="none" w:color="000000" w:sz="4" w:space="0"/>
        <w:bottom w:val="none" w:color="000000" w:sz="4" w:space="0"/>
        <w:right w:val="none" w:color="000000" w:sz="4" w:space="0"/>
        <w:between w:val="none" w:color="000000" w:sz="4" w:space="0"/>
      </w:pBdr>
    </w:pPr>
    <w:rPr>
      <w:rFonts w:ascii="Helvetica" w:hAnsi="Helvetica" w:eastAsia="Arial Unicode MS" w:cs="Arial Unicode MS"/>
      <w:color w:val="000000"/>
      <w:sz w:val="24"/>
      <w:szCs w:val="24"/>
      <w:lang w:eastAsia="ru-RU"/>
    </w:rPr>
  </w:style>
  <w:style w:type="paragraph" w:styleId="1319">
    <w:name w:val="Footer"/>
    <w:link w:val="1320"/>
    <w:uiPriority w:val="99"/>
    <w:pPr>
      <w:spacing w:after="0" w:line="240" w:lineRule="auto"/>
      <w:widowControl w:val="off"/>
      <w:tabs>
        <w:tab w:val="center" w:pos="4677" w:leader="none"/>
        <w:tab w:val="right" w:pos="9355" w:leader="none"/>
      </w:tabs>
      <w:pBdr>
        <w:top w:val="none" w:color="000000" w:sz="4" w:space="0"/>
        <w:left w:val="none" w:color="000000" w:sz="4" w:space="0"/>
        <w:bottom w:val="none" w:color="000000" w:sz="4" w:space="0"/>
        <w:right w:val="none" w:color="000000" w:sz="4" w:space="0"/>
        <w:between w:val="none" w:color="000000" w:sz="4" w:space="0"/>
      </w:pBdr>
    </w:pPr>
    <w:rPr>
      <w:rFonts w:ascii="Arial" w:hAnsi="Arial" w:eastAsia="Arial Unicode MS" w:cs="Arial Unicode MS"/>
      <w:color w:val="000000"/>
      <w:sz w:val="20"/>
      <w:szCs w:val="20"/>
      <w:lang w:eastAsia="ru-RU"/>
    </w:rPr>
  </w:style>
  <w:style w:type="character" w:styleId="1320" w:customStyle="1">
    <w:name w:val="Нижний колонтитул Знак"/>
    <w:basedOn w:val="1156"/>
    <w:link w:val="1319"/>
    <w:uiPriority w:val="99"/>
    <w:rPr>
      <w:rFonts w:ascii="Arial" w:hAnsi="Arial" w:eastAsia="Arial Unicode MS" w:cs="Arial Unicode MS"/>
      <w:color w:val="000000"/>
      <w:sz w:val="20"/>
      <w:szCs w:val="20"/>
      <w:lang w:eastAsia="ru-RU"/>
    </w:rPr>
  </w:style>
  <w:style w:type="paragraph" w:styleId="1321">
    <w:name w:val="Title"/>
    <w:link w:val="1322"/>
    <w:qFormat/>
    <w:pPr>
      <w:jc w:val="center"/>
      <w:spacing w:after="0" w:line="240" w:lineRule="auto"/>
      <w:pBdr>
        <w:top w:val="none" w:color="000000" w:sz="4" w:space="0"/>
        <w:left w:val="none" w:color="000000" w:sz="4" w:space="0"/>
        <w:bottom w:val="none" w:color="000000" w:sz="4" w:space="0"/>
        <w:right w:val="none" w:color="000000" w:sz="4" w:space="0"/>
        <w:between w:val="none" w:color="000000" w:sz="4" w:space="0"/>
      </w:pBdr>
    </w:pPr>
    <w:rPr>
      <w:rFonts w:ascii="Times New Roman" w:hAnsi="Times New Roman" w:eastAsia="Arial Unicode MS" w:cs="Arial Unicode MS"/>
      <w:b/>
      <w:bCs/>
      <w:color w:val="000000"/>
      <w:sz w:val="24"/>
      <w:szCs w:val="24"/>
      <w:lang w:eastAsia="ru-RU"/>
    </w:rPr>
  </w:style>
  <w:style w:type="character" w:styleId="1322" w:customStyle="1">
    <w:name w:val="Заголовок Знак"/>
    <w:basedOn w:val="1156"/>
    <w:link w:val="1321"/>
    <w:rPr>
      <w:rFonts w:ascii="Times New Roman" w:hAnsi="Times New Roman" w:eastAsia="Arial Unicode MS" w:cs="Arial Unicode MS"/>
      <w:b/>
      <w:bCs/>
      <w:color w:val="000000"/>
      <w:sz w:val="24"/>
      <w:szCs w:val="24"/>
      <w:lang w:eastAsia="ru-RU"/>
    </w:rPr>
  </w:style>
  <w:style w:type="paragraph" w:styleId="1323" w:customStyle="1">
    <w:name w:val="ConsPlusNormal"/>
    <w:pPr>
      <w:ind w:firstLine="720"/>
      <w:spacing w:after="0" w:line="240" w:lineRule="auto"/>
      <w:widowControl w:val="off"/>
      <w:pBdr>
        <w:top w:val="none" w:color="000000" w:sz="4" w:space="0"/>
        <w:left w:val="none" w:color="000000" w:sz="4" w:space="0"/>
        <w:bottom w:val="none" w:color="000000" w:sz="4" w:space="0"/>
        <w:right w:val="none" w:color="000000" w:sz="4" w:space="0"/>
        <w:between w:val="none" w:color="000000" w:sz="4" w:space="0"/>
      </w:pBdr>
    </w:pPr>
    <w:rPr>
      <w:rFonts w:ascii="Arial" w:hAnsi="Arial" w:eastAsia="Arial" w:cs="Arial"/>
      <w:color w:val="000000"/>
      <w:sz w:val="20"/>
      <w:szCs w:val="20"/>
      <w:lang w:eastAsia="ru-RU"/>
    </w:rPr>
  </w:style>
  <w:style w:type="paragraph" w:styleId="1324">
    <w:name w:val="Body Text Indent 3"/>
    <w:link w:val="1325"/>
    <w:pPr>
      <w:ind w:left="283"/>
      <w:spacing w:after="120" w:line="240" w:lineRule="auto"/>
      <w:widowControl w:val="off"/>
      <w:pBdr>
        <w:top w:val="none" w:color="000000" w:sz="4" w:space="0"/>
        <w:left w:val="none" w:color="000000" w:sz="4" w:space="0"/>
        <w:bottom w:val="none" w:color="000000" w:sz="4" w:space="0"/>
        <w:right w:val="none" w:color="000000" w:sz="4" w:space="0"/>
        <w:between w:val="none" w:color="000000" w:sz="4" w:space="0"/>
      </w:pBdr>
    </w:pPr>
    <w:rPr>
      <w:rFonts w:ascii="Arial" w:hAnsi="Arial" w:eastAsia="Arial Unicode MS" w:cs="Arial Unicode MS"/>
      <w:color w:val="000000"/>
      <w:sz w:val="16"/>
      <w:szCs w:val="16"/>
      <w:lang w:eastAsia="ru-RU"/>
    </w:rPr>
  </w:style>
  <w:style w:type="character" w:styleId="1325" w:customStyle="1">
    <w:name w:val="Основной текст с отступом 3 Знак"/>
    <w:basedOn w:val="1156"/>
    <w:link w:val="1324"/>
    <w:rPr>
      <w:rFonts w:ascii="Arial" w:hAnsi="Arial" w:eastAsia="Arial Unicode MS" w:cs="Arial Unicode MS"/>
      <w:color w:val="000000"/>
      <w:sz w:val="16"/>
      <w:szCs w:val="16"/>
      <w:lang w:eastAsia="ru-RU"/>
    </w:rPr>
  </w:style>
  <w:style w:type="numbering" w:styleId="1326" w:customStyle="1">
    <w:name w:val="Импортированный стиль 3"/>
    <w:pPr>
      <w:numPr>
        <w:ilvl w:val="0"/>
        <w:numId w:val="1"/>
      </w:numPr>
    </w:pPr>
  </w:style>
  <w:style w:type="numbering" w:styleId="1327" w:customStyle="1">
    <w:name w:val="Импортированный стиль 4"/>
    <w:pPr>
      <w:numPr>
        <w:ilvl w:val="0"/>
        <w:numId w:val="2"/>
      </w:numPr>
    </w:pPr>
  </w:style>
  <w:style w:type="paragraph" w:styleId="1328" w:customStyle="1">
    <w:name w:val="Ариал"/>
    <w:link w:val="1509"/>
    <w:pPr>
      <w:ind w:firstLine="851"/>
      <w:jc w:val="both"/>
      <w:spacing w:before="120" w:after="120" w:line="360" w:lineRule="auto"/>
      <w:pBdr>
        <w:top w:val="none" w:color="000000" w:sz="4" w:space="0"/>
        <w:left w:val="none" w:color="000000" w:sz="4" w:space="0"/>
        <w:bottom w:val="none" w:color="000000" w:sz="4" w:space="0"/>
        <w:right w:val="none" w:color="000000" w:sz="4" w:space="0"/>
        <w:between w:val="none" w:color="000000" w:sz="4" w:space="0"/>
      </w:pBdr>
    </w:pPr>
    <w:rPr>
      <w:rFonts w:ascii="Arial" w:hAnsi="Arial" w:eastAsia="Arial" w:cs="Arial"/>
      <w:color w:val="000000"/>
      <w:sz w:val="24"/>
      <w:szCs w:val="24"/>
      <w:lang w:eastAsia="ru-RU"/>
    </w:rPr>
  </w:style>
  <w:style w:type="numbering" w:styleId="1329" w:customStyle="1">
    <w:name w:val="Импортированный стиль 5"/>
    <w:pPr>
      <w:numPr>
        <w:ilvl w:val="0"/>
        <w:numId w:val="3"/>
      </w:numPr>
    </w:pPr>
  </w:style>
  <w:style w:type="numbering" w:styleId="1330" w:customStyle="1">
    <w:name w:val="Импортированный стиль 6"/>
    <w:pPr>
      <w:numPr>
        <w:ilvl w:val="0"/>
        <w:numId w:val="4"/>
      </w:numPr>
    </w:pPr>
  </w:style>
  <w:style w:type="paragraph" w:styleId="1331">
    <w:name w:val="footnote text"/>
    <w:link w:val="1332"/>
    <w:uiPriority w:val="99"/>
    <w:pPr>
      <w:spacing w:after="0" w:line="240" w:lineRule="auto"/>
      <w:widowControl w:val="off"/>
      <w:pBdr>
        <w:top w:val="none" w:color="000000" w:sz="4" w:space="0"/>
        <w:left w:val="none" w:color="000000" w:sz="4" w:space="0"/>
        <w:bottom w:val="none" w:color="000000" w:sz="4" w:space="0"/>
        <w:right w:val="none" w:color="000000" w:sz="4" w:space="0"/>
        <w:between w:val="none" w:color="000000" w:sz="4" w:space="0"/>
      </w:pBdr>
    </w:pPr>
    <w:rPr>
      <w:rFonts w:ascii="Arial" w:hAnsi="Arial" w:eastAsia="Arial" w:cs="Arial"/>
      <w:color w:val="000000"/>
      <w:sz w:val="20"/>
      <w:szCs w:val="20"/>
      <w:lang w:eastAsia="ru-RU"/>
    </w:rPr>
  </w:style>
  <w:style w:type="character" w:styleId="1332" w:customStyle="1">
    <w:name w:val="Текст сноски Знак"/>
    <w:basedOn w:val="1156"/>
    <w:link w:val="1331"/>
    <w:uiPriority w:val="99"/>
    <w:rPr>
      <w:rFonts w:ascii="Arial" w:hAnsi="Arial" w:eastAsia="Arial" w:cs="Arial"/>
      <w:color w:val="000000"/>
      <w:sz w:val="20"/>
      <w:szCs w:val="20"/>
      <w:lang w:eastAsia="ru-RU"/>
    </w:rPr>
  </w:style>
  <w:style w:type="character" w:styleId="1333">
    <w:name w:val="footnote reference"/>
    <w:uiPriority w:val="99"/>
    <w:rPr>
      <w:vertAlign w:val="superscript"/>
    </w:rPr>
  </w:style>
  <w:style w:type="paragraph" w:styleId="1334">
    <w:name w:val="Body Text Indent 2"/>
    <w:link w:val="1335"/>
    <w:pPr>
      <w:ind w:left="283"/>
      <w:spacing w:after="120" w:line="480" w:lineRule="auto"/>
      <w:pBdr>
        <w:top w:val="none" w:color="000000" w:sz="4" w:space="0"/>
        <w:left w:val="none" w:color="000000" w:sz="4" w:space="0"/>
        <w:bottom w:val="none" w:color="000000" w:sz="4" w:space="0"/>
        <w:right w:val="none" w:color="000000" w:sz="4" w:space="0"/>
        <w:between w:val="none" w:color="000000" w:sz="4" w:space="0"/>
      </w:pBdr>
    </w:pPr>
    <w:rPr>
      <w:rFonts w:ascii="Times New Roman" w:hAnsi="Times New Roman" w:eastAsia="Arial Unicode MS" w:cs="Arial Unicode MS"/>
      <w:color w:val="000000"/>
      <w:sz w:val="24"/>
      <w:szCs w:val="24"/>
      <w:lang w:eastAsia="ru-RU"/>
    </w:rPr>
  </w:style>
  <w:style w:type="character" w:styleId="1335" w:customStyle="1">
    <w:name w:val="Основной текст с отступом 2 Знак"/>
    <w:basedOn w:val="1156"/>
    <w:link w:val="1334"/>
    <w:rPr>
      <w:rFonts w:ascii="Times New Roman" w:hAnsi="Times New Roman" w:eastAsia="Arial Unicode MS" w:cs="Arial Unicode MS"/>
      <w:color w:val="000000"/>
      <w:sz w:val="24"/>
      <w:szCs w:val="24"/>
      <w:lang w:eastAsia="ru-RU"/>
    </w:rPr>
  </w:style>
  <w:style w:type="numbering" w:styleId="1336" w:customStyle="1">
    <w:name w:val="Импортированный стиль 7"/>
    <w:pPr>
      <w:numPr>
        <w:ilvl w:val="0"/>
        <w:numId w:val="5"/>
      </w:numPr>
    </w:pPr>
  </w:style>
  <w:style w:type="paragraph" w:styleId="1337" w:customStyle="1">
    <w:name w:val="Обычный1"/>
    <w:uiPriority w:val="99"/>
    <w:pPr>
      <w:ind w:firstLine="567"/>
      <w:jc w:val="both"/>
      <w:spacing w:before="120" w:after="120" w:line="240" w:lineRule="auto"/>
      <w:widowControl w:val="off"/>
      <w:pBdr>
        <w:top w:val="none" w:color="000000" w:sz="4" w:space="0"/>
        <w:left w:val="none" w:color="000000" w:sz="4" w:space="0"/>
        <w:bottom w:val="none" w:color="000000" w:sz="4" w:space="0"/>
        <w:right w:val="none" w:color="000000" w:sz="4" w:space="0"/>
        <w:between w:val="none" w:color="000000" w:sz="4" w:space="0"/>
      </w:pBdr>
    </w:pPr>
    <w:rPr>
      <w:rFonts w:ascii="Times New Roman" w:hAnsi="Times New Roman" w:eastAsia="Arial Unicode MS" w:cs="Arial Unicode MS"/>
      <w:color w:val="000000"/>
      <w:sz w:val="20"/>
      <w:szCs w:val="20"/>
      <w:lang w:eastAsia="ru-RU"/>
    </w:rPr>
  </w:style>
  <w:style w:type="numbering" w:styleId="1338" w:customStyle="1">
    <w:name w:val="Импортированный стиль 8"/>
    <w:pPr>
      <w:numPr>
        <w:ilvl w:val="0"/>
        <w:numId w:val="6"/>
      </w:numPr>
    </w:pPr>
  </w:style>
  <w:style w:type="numbering" w:styleId="1339" w:customStyle="1">
    <w:name w:val="Импортированный стиль 9"/>
    <w:pPr>
      <w:numPr>
        <w:ilvl w:val="0"/>
        <w:numId w:val="7"/>
      </w:numPr>
    </w:pPr>
  </w:style>
  <w:style w:type="numbering" w:styleId="1340" w:customStyle="1">
    <w:name w:val="Импортированный стиль 10"/>
    <w:pPr>
      <w:numPr>
        <w:ilvl w:val="0"/>
        <w:numId w:val="8"/>
      </w:numPr>
    </w:pPr>
  </w:style>
  <w:style w:type="numbering" w:styleId="1341" w:customStyle="1">
    <w:name w:val="Импортированный стиль 11"/>
    <w:pPr>
      <w:numPr>
        <w:ilvl w:val="0"/>
        <w:numId w:val="9"/>
      </w:numPr>
    </w:pPr>
  </w:style>
  <w:style w:type="numbering" w:styleId="1342" w:customStyle="1">
    <w:name w:val="Импортированный стиль 12"/>
    <w:pPr>
      <w:numPr>
        <w:ilvl w:val="0"/>
        <w:numId w:val="10"/>
      </w:numPr>
    </w:pPr>
  </w:style>
  <w:style w:type="numbering" w:styleId="1343" w:customStyle="1">
    <w:name w:val="Импортированный стиль 13"/>
    <w:pPr>
      <w:numPr>
        <w:ilvl w:val="0"/>
        <w:numId w:val="11"/>
      </w:numPr>
    </w:pPr>
  </w:style>
  <w:style w:type="paragraph" w:styleId="1344">
    <w:name w:val="List 2"/>
    <w:pPr>
      <w:ind w:left="1260"/>
      <w:jc w:val="both"/>
      <w:spacing w:after="0" w:line="360" w:lineRule="auto"/>
      <w:tabs>
        <w:tab w:val="left" w:pos="1980" w:leader="none"/>
      </w:tabs>
      <w:pBdr>
        <w:top w:val="none" w:color="000000" w:sz="4" w:space="0"/>
        <w:left w:val="none" w:color="000000" w:sz="4" w:space="0"/>
        <w:bottom w:val="none" w:color="000000" w:sz="4" w:space="0"/>
        <w:right w:val="none" w:color="000000" w:sz="4" w:space="0"/>
        <w:between w:val="none" w:color="000000" w:sz="4" w:space="0"/>
      </w:pBdr>
    </w:pPr>
    <w:rPr>
      <w:rFonts w:ascii="Times New Roman" w:hAnsi="Times New Roman" w:eastAsia="Arial Unicode MS" w:cs="Arial Unicode MS"/>
      <w:color w:val="000000"/>
      <w:sz w:val="28"/>
      <w:szCs w:val="28"/>
      <w:lang w:eastAsia="ru-RU"/>
    </w:rPr>
  </w:style>
  <w:style w:type="paragraph" w:styleId="1345">
    <w:name w:val="Body Text"/>
    <w:link w:val="1346"/>
    <w:pPr>
      <w:spacing w:after="120" w:line="240" w:lineRule="auto"/>
      <w:widowControl w:val="off"/>
      <w:pBdr>
        <w:top w:val="none" w:color="000000" w:sz="4" w:space="0"/>
        <w:left w:val="none" w:color="000000" w:sz="4" w:space="0"/>
        <w:bottom w:val="none" w:color="000000" w:sz="4" w:space="0"/>
        <w:right w:val="none" w:color="000000" w:sz="4" w:space="0"/>
        <w:between w:val="none" w:color="000000" w:sz="4" w:space="0"/>
      </w:pBdr>
    </w:pPr>
    <w:rPr>
      <w:rFonts w:ascii="Arial" w:hAnsi="Arial" w:eastAsia="Arial Unicode MS" w:cs="Arial Unicode MS"/>
      <w:color w:val="000000"/>
      <w:sz w:val="20"/>
      <w:szCs w:val="20"/>
      <w:lang w:eastAsia="ru-RU"/>
    </w:rPr>
  </w:style>
  <w:style w:type="character" w:styleId="1346" w:customStyle="1">
    <w:name w:val="Основной текст Знак"/>
    <w:basedOn w:val="1156"/>
    <w:link w:val="1345"/>
    <w:rPr>
      <w:rFonts w:ascii="Arial" w:hAnsi="Arial" w:eastAsia="Arial Unicode MS" w:cs="Arial Unicode MS"/>
      <w:color w:val="000000"/>
      <w:sz w:val="20"/>
      <w:szCs w:val="20"/>
      <w:lang w:eastAsia="ru-RU"/>
    </w:rPr>
  </w:style>
  <w:style w:type="numbering" w:styleId="1347" w:customStyle="1">
    <w:name w:val="Импортированный стиль 15"/>
    <w:pPr>
      <w:numPr>
        <w:ilvl w:val="0"/>
        <w:numId w:val="12"/>
      </w:numPr>
    </w:pPr>
  </w:style>
  <w:style w:type="numbering" w:styleId="1348" w:customStyle="1">
    <w:name w:val="Импортированный стиль 16"/>
    <w:pPr>
      <w:numPr>
        <w:ilvl w:val="0"/>
        <w:numId w:val="13"/>
      </w:numPr>
    </w:pPr>
  </w:style>
  <w:style w:type="numbering" w:styleId="1349" w:customStyle="1">
    <w:name w:val="Импортированный стиль 17"/>
    <w:pPr>
      <w:numPr>
        <w:ilvl w:val="0"/>
        <w:numId w:val="14"/>
      </w:numPr>
    </w:pPr>
  </w:style>
  <w:style w:type="paragraph" w:styleId="1350" w:customStyle="1">
    <w:name w:val="_Маркер (номер) - с заголовком"/>
    <w:pPr>
      <w:spacing w:before="240" w:after="60" w:line="360" w:lineRule="auto"/>
      <w:pBdr>
        <w:top w:val="none" w:color="000000" w:sz="4" w:space="0"/>
        <w:left w:val="none" w:color="000000" w:sz="4" w:space="0"/>
        <w:bottom w:val="none" w:color="000000" w:sz="4" w:space="0"/>
        <w:right w:val="none" w:color="000000" w:sz="4" w:space="0"/>
        <w:between w:val="none" w:color="000000" w:sz="4" w:space="0"/>
      </w:pBdr>
    </w:pPr>
    <w:rPr>
      <w:rFonts w:ascii="Times New Roman" w:hAnsi="Times New Roman" w:eastAsia="Arial Unicode MS" w:cs="Arial Unicode MS"/>
      <w:b/>
      <w:bCs/>
      <w:color w:val="000000"/>
      <w:sz w:val="24"/>
      <w:szCs w:val="24"/>
      <w:lang w:eastAsia="ru-RU"/>
    </w:rPr>
  </w:style>
  <w:style w:type="numbering" w:styleId="1351" w:customStyle="1">
    <w:name w:val="Импортированный стиль 18"/>
    <w:pPr>
      <w:numPr>
        <w:ilvl w:val="0"/>
        <w:numId w:val="15"/>
      </w:numPr>
    </w:pPr>
  </w:style>
  <w:style w:type="paragraph" w:styleId="1352">
    <w:name w:val="Header"/>
    <w:link w:val="1353"/>
    <w:uiPriority w:val="99"/>
    <w:pPr>
      <w:spacing w:after="0" w:line="240" w:lineRule="auto"/>
      <w:widowControl w:val="off"/>
      <w:tabs>
        <w:tab w:val="center" w:pos="4677" w:leader="none"/>
        <w:tab w:val="right" w:pos="9355" w:leader="none"/>
      </w:tabs>
      <w:pBdr>
        <w:top w:val="none" w:color="000000" w:sz="4" w:space="0"/>
        <w:left w:val="none" w:color="000000" w:sz="4" w:space="0"/>
        <w:bottom w:val="none" w:color="000000" w:sz="4" w:space="0"/>
        <w:right w:val="none" w:color="000000" w:sz="4" w:space="0"/>
        <w:between w:val="none" w:color="000000" w:sz="4" w:space="0"/>
      </w:pBdr>
    </w:pPr>
    <w:rPr>
      <w:rFonts w:ascii="Arial" w:hAnsi="Arial" w:eastAsia="Arial" w:cs="Arial"/>
      <w:color w:val="000000"/>
      <w:sz w:val="20"/>
      <w:szCs w:val="20"/>
      <w:lang w:eastAsia="ru-RU"/>
    </w:rPr>
  </w:style>
  <w:style w:type="character" w:styleId="1353" w:customStyle="1">
    <w:name w:val="Верхний колонтитул Знак"/>
    <w:basedOn w:val="1156"/>
    <w:link w:val="1352"/>
    <w:uiPriority w:val="99"/>
    <w:rPr>
      <w:rFonts w:ascii="Arial" w:hAnsi="Arial" w:eastAsia="Arial" w:cs="Arial"/>
      <w:color w:val="000000"/>
      <w:sz w:val="20"/>
      <w:szCs w:val="20"/>
      <w:lang w:eastAsia="ru-RU"/>
    </w:rPr>
  </w:style>
  <w:style w:type="paragraph" w:styleId="1354" w:customStyle="1">
    <w:name w:val="Times 12"/>
    <w:pPr>
      <w:ind w:firstLine="567"/>
      <w:jc w:val="both"/>
      <w:spacing w:after="0" w:line="240" w:lineRule="auto"/>
      <w:pBdr>
        <w:top w:val="none" w:color="000000" w:sz="4" w:space="0"/>
        <w:left w:val="none" w:color="000000" w:sz="4" w:space="0"/>
        <w:bottom w:val="none" w:color="000000" w:sz="4" w:space="0"/>
        <w:right w:val="none" w:color="000000" w:sz="4" w:space="0"/>
        <w:between w:val="none" w:color="000000" w:sz="4" w:space="0"/>
      </w:pBdr>
    </w:pPr>
    <w:rPr>
      <w:rFonts w:ascii="Times New Roman" w:hAnsi="Times New Roman" w:eastAsia="Arial Unicode MS" w:cs="Arial Unicode MS"/>
      <w:color w:val="000000"/>
      <w:sz w:val="24"/>
      <w:szCs w:val="24"/>
      <w:lang w:eastAsia="ru-RU"/>
    </w:rPr>
  </w:style>
  <w:style w:type="numbering" w:styleId="1355" w:customStyle="1">
    <w:name w:val="Импортированный стиль 19"/>
    <w:pPr>
      <w:numPr>
        <w:ilvl w:val="0"/>
        <w:numId w:val="16"/>
      </w:numPr>
    </w:pPr>
  </w:style>
  <w:style w:type="numbering" w:styleId="1356" w:customStyle="1">
    <w:name w:val="Импортированный стиль 20"/>
    <w:pPr>
      <w:numPr>
        <w:ilvl w:val="0"/>
        <w:numId w:val="17"/>
      </w:numPr>
    </w:pPr>
  </w:style>
  <w:style w:type="paragraph" w:styleId="1357" w:customStyle="1">
    <w:name w:val="CC Legal 1"/>
    <w:pPr>
      <w:spacing w:after="0" w:line="240" w:lineRule="auto"/>
      <w:widowControl w:val="off"/>
      <w:pBdr>
        <w:top w:val="none" w:color="000000" w:sz="4" w:space="0"/>
        <w:left w:val="none" w:color="000000" w:sz="4" w:space="0"/>
        <w:bottom w:val="none" w:color="000000" w:sz="4" w:space="0"/>
        <w:right w:val="none" w:color="000000" w:sz="4" w:space="0"/>
        <w:between w:val="none" w:color="000000" w:sz="4" w:space="0"/>
      </w:pBdr>
    </w:pPr>
    <w:rPr>
      <w:rFonts w:ascii="Book Antiqua" w:hAnsi="Book Antiqua" w:eastAsia="Arial Unicode MS" w:cs="Arial Unicode MS"/>
      <w:color w:val="000000"/>
      <w:lang w:val="en-US" w:eastAsia="ru-RU"/>
    </w:rPr>
  </w:style>
  <w:style w:type="paragraph" w:styleId="1358" w:customStyle="1">
    <w:name w:val="Пункт б/н"/>
    <w:pPr>
      <w:ind w:firstLine="567"/>
      <w:jc w:val="both"/>
      <w:spacing w:after="0" w:line="360" w:lineRule="auto"/>
      <w:tabs>
        <w:tab w:val="left" w:pos="1134" w:leader="none"/>
      </w:tabs>
      <w:pBdr>
        <w:top w:val="none" w:color="000000" w:sz="4" w:space="0"/>
        <w:left w:val="none" w:color="000000" w:sz="4" w:space="0"/>
        <w:bottom w:val="none" w:color="000000" w:sz="4" w:space="0"/>
        <w:right w:val="none" w:color="000000" w:sz="4" w:space="0"/>
        <w:between w:val="none" w:color="000000" w:sz="4" w:space="0"/>
      </w:pBdr>
    </w:pPr>
    <w:rPr>
      <w:rFonts w:ascii="Times New Roman" w:hAnsi="Times New Roman" w:eastAsia="Arial Unicode MS" w:cs="Arial Unicode MS"/>
      <w:color w:val="000000"/>
      <w:lang w:eastAsia="ru-RU"/>
    </w:rPr>
  </w:style>
  <w:style w:type="paragraph" w:styleId="1359" w:customStyle="1">
    <w:name w:val="Iniiaiie oaeno"/>
    <w:pPr>
      <w:ind w:firstLine="720"/>
      <w:spacing w:after="120" w:line="240" w:lineRule="auto"/>
      <w:widowControl w:val="off"/>
      <w:pBdr>
        <w:top w:val="none" w:color="000000" w:sz="4" w:space="0"/>
        <w:left w:val="none" w:color="000000" w:sz="4" w:space="0"/>
        <w:bottom w:val="none" w:color="000000" w:sz="4" w:space="0"/>
        <w:right w:val="none" w:color="000000" w:sz="4" w:space="0"/>
        <w:between w:val="none" w:color="000000" w:sz="4" w:space="0"/>
      </w:pBdr>
    </w:pPr>
    <w:rPr>
      <w:rFonts w:ascii="Tms Rmn" w:hAnsi="Tms Rmn" w:eastAsia="Tms Rmn" w:cs="Tms Rmn"/>
      <w:color w:val="000000"/>
      <w:sz w:val="20"/>
      <w:szCs w:val="20"/>
      <w:lang w:eastAsia="ru-RU"/>
    </w:rPr>
  </w:style>
  <w:style w:type="numbering" w:styleId="1360" w:customStyle="1">
    <w:name w:val="Импортированный стиль 21"/>
    <w:pPr>
      <w:numPr>
        <w:ilvl w:val="0"/>
        <w:numId w:val="18"/>
      </w:numPr>
    </w:pPr>
  </w:style>
  <w:style w:type="paragraph" w:styleId="1361">
    <w:name w:val="Body Text Indent"/>
    <w:link w:val="1362"/>
    <w:pPr>
      <w:ind w:left="283"/>
      <w:spacing w:after="120" w:line="240" w:lineRule="auto"/>
      <w:widowControl w:val="off"/>
      <w:pBdr>
        <w:top w:val="none" w:color="000000" w:sz="4" w:space="0"/>
        <w:left w:val="none" w:color="000000" w:sz="4" w:space="0"/>
        <w:bottom w:val="none" w:color="000000" w:sz="4" w:space="0"/>
        <w:right w:val="none" w:color="000000" w:sz="4" w:space="0"/>
        <w:between w:val="none" w:color="000000" w:sz="4" w:space="0"/>
      </w:pBdr>
    </w:pPr>
    <w:rPr>
      <w:rFonts w:ascii="Arial" w:hAnsi="Arial" w:eastAsia="Arial Unicode MS" w:cs="Arial Unicode MS"/>
      <w:color w:val="000000"/>
      <w:sz w:val="20"/>
      <w:szCs w:val="20"/>
      <w:lang w:eastAsia="ru-RU"/>
    </w:rPr>
  </w:style>
  <w:style w:type="character" w:styleId="1362" w:customStyle="1">
    <w:name w:val="Основной текст с отступом Знак"/>
    <w:basedOn w:val="1156"/>
    <w:link w:val="1361"/>
    <w:rPr>
      <w:rFonts w:ascii="Arial" w:hAnsi="Arial" w:eastAsia="Arial Unicode MS" w:cs="Arial Unicode MS"/>
      <w:color w:val="000000"/>
      <w:sz w:val="20"/>
      <w:szCs w:val="20"/>
      <w:lang w:eastAsia="ru-RU"/>
    </w:rPr>
  </w:style>
  <w:style w:type="numbering" w:styleId="1363" w:customStyle="1">
    <w:name w:val="Импортированный стиль 22"/>
    <w:pPr>
      <w:numPr>
        <w:ilvl w:val="0"/>
        <w:numId w:val="19"/>
      </w:numPr>
    </w:pPr>
  </w:style>
  <w:style w:type="paragraph" w:styleId="1364" w:customStyle="1">
    <w:name w:val="Body Text Indent 21"/>
    <w:pPr>
      <w:ind w:firstLine="720"/>
      <w:spacing w:after="0" w:line="240" w:lineRule="auto"/>
      <w:pBdr>
        <w:top w:val="none" w:color="000000" w:sz="4" w:space="0"/>
        <w:left w:val="none" w:color="000000" w:sz="4" w:space="0"/>
        <w:bottom w:val="none" w:color="000000" w:sz="4" w:space="0"/>
        <w:right w:val="none" w:color="000000" w:sz="4" w:space="0"/>
        <w:between w:val="none" w:color="000000" w:sz="4" w:space="0"/>
      </w:pBdr>
    </w:pPr>
    <w:rPr>
      <w:rFonts w:ascii="Times New Roman" w:hAnsi="Times New Roman" w:eastAsia="Arial Unicode MS" w:cs="Arial Unicode MS"/>
      <w:color w:val="000000"/>
      <w:sz w:val="26"/>
      <w:szCs w:val="26"/>
      <w:lang w:eastAsia="ru-RU"/>
    </w:rPr>
  </w:style>
  <w:style w:type="numbering" w:styleId="1365" w:customStyle="1">
    <w:name w:val="Импортированный стиль 23"/>
    <w:pPr>
      <w:numPr>
        <w:ilvl w:val="0"/>
        <w:numId w:val="20"/>
      </w:numPr>
    </w:pPr>
  </w:style>
  <w:style w:type="numbering" w:styleId="1366" w:customStyle="1">
    <w:name w:val="Импортированный стиль 24"/>
    <w:pPr>
      <w:numPr>
        <w:ilvl w:val="0"/>
        <w:numId w:val="21"/>
      </w:numPr>
    </w:pPr>
  </w:style>
  <w:style w:type="numbering" w:styleId="1367" w:customStyle="1">
    <w:name w:val="Импортированный стиль 25"/>
    <w:pPr>
      <w:numPr>
        <w:ilvl w:val="0"/>
        <w:numId w:val="22"/>
      </w:numPr>
    </w:pPr>
  </w:style>
  <w:style w:type="paragraph" w:styleId="1368" w:customStyle="1">
    <w:name w:val="бычный"/>
    <w:link w:val="1535"/>
    <w:pPr>
      <w:ind w:firstLine="709"/>
      <w:jc w:val="both"/>
      <w:spacing w:after="0" w:line="240" w:lineRule="auto"/>
      <w:widowControl w:val="off"/>
      <w:pBdr>
        <w:top w:val="none" w:color="000000" w:sz="4" w:space="0"/>
        <w:left w:val="none" w:color="000000" w:sz="4" w:space="0"/>
        <w:bottom w:val="none" w:color="000000" w:sz="4" w:space="0"/>
        <w:right w:val="none" w:color="000000" w:sz="4" w:space="0"/>
        <w:between w:val="none" w:color="000000" w:sz="4" w:space="0"/>
      </w:pBdr>
    </w:pPr>
    <w:rPr>
      <w:rFonts w:ascii="Times New Roman" w:hAnsi="Times New Roman" w:eastAsia="Arial Unicode MS" w:cs="Arial Unicode MS"/>
      <w:color w:val="000000"/>
      <w:sz w:val="24"/>
      <w:szCs w:val="24"/>
      <w:lang w:eastAsia="ru-RU"/>
    </w:rPr>
  </w:style>
  <w:style w:type="paragraph" w:styleId="1369" w:customStyle="1">
    <w:name w:val="Preformatted Text"/>
    <w:pPr>
      <w:spacing w:after="0" w:line="240" w:lineRule="auto"/>
      <w:widowControl w:val="off"/>
      <w:pBdr>
        <w:top w:val="none" w:color="000000" w:sz="4" w:space="0"/>
        <w:left w:val="none" w:color="000000" w:sz="4" w:space="0"/>
        <w:bottom w:val="none" w:color="000000" w:sz="4" w:space="0"/>
        <w:right w:val="none" w:color="000000" w:sz="4" w:space="0"/>
        <w:between w:val="none" w:color="000000" w:sz="4" w:space="0"/>
      </w:pBdr>
    </w:pPr>
    <w:rPr>
      <w:rFonts w:ascii="Courier New" w:hAnsi="Courier New" w:eastAsia="Arial Unicode MS" w:cs="Arial Unicode MS"/>
      <w:color w:val="000000"/>
      <w:sz w:val="20"/>
      <w:szCs w:val="20"/>
      <w:lang w:eastAsia="ru-RU"/>
    </w:rPr>
  </w:style>
  <w:style w:type="paragraph" w:styleId="1370" w:customStyle="1">
    <w:name w:val="au?iue"/>
    <w:pPr>
      <w:ind w:firstLine="709"/>
      <w:jc w:val="both"/>
      <w:spacing w:after="0" w:line="240" w:lineRule="auto"/>
      <w:widowControl w:val="off"/>
      <w:pBdr>
        <w:top w:val="none" w:color="000000" w:sz="4" w:space="0"/>
        <w:left w:val="none" w:color="000000" w:sz="4" w:space="0"/>
        <w:bottom w:val="none" w:color="000000" w:sz="4" w:space="0"/>
        <w:right w:val="none" w:color="000000" w:sz="4" w:space="0"/>
        <w:between w:val="none" w:color="000000" w:sz="4" w:space="0"/>
      </w:pBdr>
    </w:pPr>
    <w:rPr>
      <w:rFonts w:ascii="Times New Roman" w:hAnsi="Times New Roman" w:eastAsia="Arial Unicode MS" w:cs="Arial Unicode MS"/>
      <w:color w:val="000000"/>
      <w:sz w:val="24"/>
      <w:szCs w:val="24"/>
      <w:lang w:eastAsia="ru-RU"/>
    </w:rPr>
  </w:style>
  <w:style w:type="paragraph" w:styleId="1371" w:customStyle="1">
    <w:name w:val="Body Text 21"/>
    <w:pPr>
      <w:ind w:firstLine="567"/>
      <w:jc w:val="both"/>
      <w:spacing w:after="0" w:line="240" w:lineRule="auto"/>
      <w:widowControl w:val="off"/>
      <w:pBdr>
        <w:top w:val="none" w:color="000000" w:sz="4" w:space="0"/>
        <w:left w:val="none" w:color="000000" w:sz="4" w:space="0"/>
        <w:bottom w:val="none" w:color="000000" w:sz="4" w:space="0"/>
        <w:right w:val="none" w:color="000000" w:sz="4" w:space="0"/>
        <w:between w:val="none" w:color="000000" w:sz="4" w:space="0"/>
      </w:pBdr>
    </w:pPr>
    <w:rPr>
      <w:rFonts w:ascii="Times New Roman" w:hAnsi="Times New Roman" w:eastAsia="Arial Unicode MS" w:cs="Arial Unicode MS"/>
      <w:color w:val="000000"/>
      <w:sz w:val="24"/>
      <w:szCs w:val="24"/>
      <w:lang w:eastAsia="ru-RU"/>
    </w:rPr>
  </w:style>
  <w:style w:type="numbering" w:styleId="1372" w:customStyle="1">
    <w:name w:val="Импортированный стиль 26"/>
    <w:pPr>
      <w:numPr>
        <w:ilvl w:val="0"/>
        <w:numId w:val="23"/>
      </w:numPr>
    </w:pPr>
  </w:style>
  <w:style w:type="paragraph" w:styleId="1373" w:customStyle="1">
    <w:name w:val="Body Text 23"/>
    <w:pPr>
      <w:ind w:firstLine="567"/>
      <w:jc w:val="both"/>
      <w:spacing w:after="0" w:line="240" w:lineRule="atLeast"/>
      <w:widowControl w:val="off"/>
      <w:pBdr>
        <w:top w:val="none" w:color="000000" w:sz="4" w:space="0"/>
        <w:left w:val="none" w:color="000000" w:sz="4" w:space="0"/>
        <w:bottom w:val="none" w:color="000000" w:sz="4" w:space="0"/>
        <w:right w:val="none" w:color="000000" w:sz="4" w:space="0"/>
        <w:between w:val="none" w:color="000000" w:sz="4" w:space="0"/>
      </w:pBdr>
    </w:pPr>
    <w:rPr>
      <w:rFonts w:ascii="Arial" w:hAnsi="Arial" w:eastAsia="Arial Unicode MS" w:cs="Arial Unicode MS"/>
      <w:color w:val="000000"/>
      <w:sz w:val="20"/>
      <w:szCs w:val="20"/>
      <w:lang w:eastAsia="ru-RU"/>
    </w:rPr>
  </w:style>
  <w:style w:type="paragraph" w:styleId="1374">
    <w:name w:val="Body Text 3"/>
    <w:link w:val="1375"/>
    <w:pPr>
      <w:spacing w:after="120" w:line="240" w:lineRule="auto"/>
      <w:pBdr>
        <w:top w:val="none" w:color="000000" w:sz="4" w:space="0"/>
        <w:left w:val="none" w:color="000000" w:sz="4" w:space="0"/>
        <w:bottom w:val="none" w:color="000000" w:sz="4" w:space="0"/>
        <w:right w:val="none" w:color="000000" w:sz="4" w:space="0"/>
        <w:between w:val="none" w:color="000000" w:sz="4" w:space="0"/>
      </w:pBdr>
    </w:pPr>
    <w:rPr>
      <w:rFonts w:ascii="Times New Roman" w:hAnsi="Times New Roman" w:eastAsia="Arial Unicode MS" w:cs="Arial Unicode MS"/>
      <w:color w:val="000000"/>
      <w:sz w:val="16"/>
      <w:szCs w:val="16"/>
      <w:lang w:eastAsia="ru-RU"/>
    </w:rPr>
  </w:style>
  <w:style w:type="character" w:styleId="1375" w:customStyle="1">
    <w:name w:val="Основной текст 3 Знак"/>
    <w:basedOn w:val="1156"/>
    <w:link w:val="1374"/>
    <w:rPr>
      <w:rFonts w:ascii="Times New Roman" w:hAnsi="Times New Roman" w:eastAsia="Arial Unicode MS" w:cs="Arial Unicode MS"/>
      <w:color w:val="000000"/>
      <w:sz w:val="16"/>
      <w:szCs w:val="16"/>
      <w:lang w:eastAsia="ru-RU"/>
    </w:rPr>
  </w:style>
  <w:style w:type="numbering" w:styleId="1376" w:customStyle="1">
    <w:name w:val="Импортированный стиль 27"/>
    <w:pPr>
      <w:numPr>
        <w:ilvl w:val="0"/>
        <w:numId w:val="24"/>
      </w:numPr>
    </w:pPr>
  </w:style>
  <w:style w:type="paragraph" w:styleId="1377" w:customStyle="1">
    <w:name w:val="Абзац правил"/>
    <w:pPr>
      <w:ind w:firstLine="567"/>
      <w:jc w:val="both"/>
      <w:spacing w:before="40" w:after="40" w:line="240" w:lineRule="auto"/>
      <w:widowControl w:val="off"/>
      <w:pBdr>
        <w:top w:val="none" w:color="000000" w:sz="4" w:space="0"/>
        <w:left w:val="none" w:color="000000" w:sz="4" w:space="0"/>
        <w:bottom w:val="none" w:color="000000" w:sz="4" w:space="0"/>
        <w:right w:val="none" w:color="000000" w:sz="4" w:space="0"/>
        <w:between w:val="none" w:color="000000" w:sz="4" w:space="0"/>
      </w:pBdr>
    </w:pPr>
    <w:rPr>
      <w:rFonts w:ascii="Arial" w:hAnsi="Arial" w:eastAsia="Arial" w:cs="Arial"/>
      <w:color w:val="000000"/>
      <w:sz w:val="20"/>
      <w:szCs w:val="20"/>
      <w:lang w:eastAsia="ru-RU"/>
    </w:rPr>
  </w:style>
  <w:style w:type="numbering" w:styleId="1378" w:customStyle="1">
    <w:name w:val="Импортированный стиль 28"/>
    <w:pPr>
      <w:numPr>
        <w:ilvl w:val="0"/>
        <w:numId w:val="25"/>
      </w:numPr>
    </w:pPr>
  </w:style>
  <w:style w:type="numbering" w:styleId="1379" w:customStyle="1">
    <w:name w:val="Импортированный стиль 29"/>
    <w:pPr>
      <w:numPr>
        <w:ilvl w:val="0"/>
        <w:numId w:val="26"/>
      </w:numPr>
    </w:pPr>
  </w:style>
  <w:style w:type="numbering" w:styleId="1380" w:customStyle="1">
    <w:name w:val="Импортированный стиль 30"/>
    <w:pPr>
      <w:numPr>
        <w:ilvl w:val="0"/>
        <w:numId w:val="27"/>
      </w:numPr>
    </w:pPr>
  </w:style>
  <w:style w:type="numbering" w:styleId="1381" w:customStyle="1">
    <w:name w:val="Импортированный стиль 31"/>
    <w:pPr>
      <w:numPr>
        <w:ilvl w:val="0"/>
        <w:numId w:val="28"/>
      </w:numPr>
    </w:pPr>
  </w:style>
  <w:style w:type="paragraph" w:styleId="1382">
    <w:name w:val="annotation text"/>
    <w:link w:val="1383"/>
    <w:uiPriority w:val="99"/>
    <w:pPr>
      <w:spacing w:after="0" w:line="240" w:lineRule="auto"/>
      <w:pBdr>
        <w:top w:val="none" w:color="000000" w:sz="4" w:space="0"/>
        <w:left w:val="none" w:color="000000" w:sz="4" w:space="0"/>
        <w:bottom w:val="none" w:color="000000" w:sz="4" w:space="0"/>
        <w:right w:val="none" w:color="000000" w:sz="4" w:space="0"/>
        <w:between w:val="none" w:color="000000" w:sz="4" w:space="0"/>
      </w:pBdr>
    </w:pPr>
    <w:rPr>
      <w:rFonts w:ascii="Times New Roman" w:hAnsi="Times New Roman" w:eastAsia="Arial Unicode MS" w:cs="Arial Unicode MS"/>
      <w:color w:val="000000"/>
      <w:sz w:val="20"/>
      <w:szCs w:val="20"/>
      <w:lang w:eastAsia="ru-RU"/>
    </w:rPr>
  </w:style>
  <w:style w:type="character" w:styleId="1383" w:customStyle="1">
    <w:name w:val="Текст примечания Знак"/>
    <w:basedOn w:val="1156"/>
    <w:link w:val="1382"/>
    <w:uiPriority w:val="99"/>
    <w:rPr>
      <w:rFonts w:ascii="Times New Roman" w:hAnsi="Times New Roman" w:eastAsia="Arial Unicode MS" w:cs="Arial Unicode MS"/>
      <w:color w:val="000000"/>
      <w:sz w:val="20"/>
      <w:szCs w:val="20"/>
      <w:lang w:eastAsia="ru-RU"/>
    </w:rPr>
  </w:style>
  <w:style w:type="numbering" w:styleId="1384" w:customStyle="1">
    <w:name w:val="Импортированный стиль 32"/>
    <w:pPr>
      <w:numPr>
        <w:ilvl w:val="0"/>
        <w:numId w:val="29"/>
      </w:numPr>
    </w:pPr>
  </w:style>
  <w:style w:type="numbering" w:styleId="1385" w:customStyle="1">
    <w:name w:val="Импортированный стиль 33"/>
    <w:pPr>
      <w:numPr>
        <w:ilvl w:val="0"/>
        <w:numId w:val="30"/>
      </w:numPr>
    </w:pPr>
  </w:style>
  <w:style w:type="numbering" w:styleId="1386" w:customStyle="1">
    <w:name w:val="Импортированный стиль 34"/>
    <w:pPr>
      <w:numPr>
        <w:ilvl w:val="0"/>
        <w:numId w:val="31"/>
      </w:numPr>
    </w:pPr>
  </w:style>
  <w:style w:type="numbering" w:styleId="1387" w:customStyle="1">
    <w:name w:val="Импортированный стиль 35"/>
    <w:pPr>
      <w:numPr>
        <w:ilvl w:val="0"/>
        <w:numId w:val="32"/>
      </w:numPr>
    </w:pPr>
  </w:style>
  <w:style w:type="numbering" w:styleId="1388" w:customStyle="1">
    <w:name w:val="Импортированный стиль 36"/>
    <w:pPr>
      <w:numPr>
        <w:ilvl w:val="0"/>
        <w:numId w:val="33"/>
      </w:numPr>
    </w:pPr>
  </w:style>
  <w:style w:type="numbering" w:styleId="1389" w:customStyle="1">
    <w:name w:val="Импортированный стиль 37"/>
    <w:pPr>
      <w:numPr>
        <w:ilvl w:val="0"/>
        <w:numId w:val="34"/>
      </w:numPr>
    </w:pPr>
  </w:style>
  <w:style w:type="paragraph" w:styleId="1390" w:customStyle="1">
    <w:name w:val="Текст в документе"/>
    <w:pPr>
      <w:ind w:firstLine="709"/>
      <w:spacing w:after="0" w:line="360" w:lineRule="auto"/>
      <w:pBdr>
        <w:top w:val="none" w:color="000000" w:sz="4" w:space="0"/>
        <w:left w:val="none" w:color="000000" w:sz="4" w:space="0"/>
        <w:bottom w:val="none" w:color="000000" w:sz="4" w:space="0"/>
        <w:right w:val="none" w:color="000000" w:sz="4" w:space="0"/>
        <w:between w:val="none" w:color="000000" w:sz="4" w:space="0"/>
      </w:pBdr>
    </w:pPr>
    <w:rPr>
      <w:rFonts w:ascii="Times New Roman" w:hAnsi="Times New Roman" w:eastAsia="Arial Unicode MS" w:cs="Arial Unicode MS"/>
      <w:color w:val="000000"/>
      <w:sz w:val="24"/>
      <w:szCs w:val="24"/>
      <w:lang w:eastAsia="ru-RU"/>
    </w:rPr>
  </w:style>
  <w:style w:type="paragraph" w:styleId="1391" w:customStyle="1">
    <w:name w:val="Style17"/>
    <w:pPr>
      <w:ind w:firstLine="643"/>
      <w:jc w:val="both"/>
      <w:spacing w:after="0" w:line="347" w:lineRule="exact"/>
      <w:widowControl w:val="off"/>
      <w:pBdr>
        <w:top w:val="none" w:color="000000" w:sz="4" w:space="0"/>
        <w:left w:val="none" w:color="000000" w:sz="4" w:space="0"/>
        <w:bottom w:val="none" w:color="000000" w:sz="4" w:space="0"/>
        <w:right w:val="none" w:color="000000" w:sz="4" w:space="0"/>
        <w:between w:val="none" w:color="000000" w:sz="4" w:space="0"/>
      </w:pBdr>
    </w:pPr>
    <w:rPr>
      <w:rFonts w:ascii="Tahoma" w:hAnsi="Tahoma" w:eastAsia="Arial Unicode MS" w:cs="Arial Unicode MS"/>
      <w:color w:val="000000"/>
      <w:sz w:val="24"/>
      <w:szCs w:val="24"/>
      <w:lang w:eastAsia="ru-RU"/>
    </w:rPr>
  </w:style>
  <w:style w:type="paragraph" w:styleId="1392" w:customStyle="1">
    <w:name w:val="Style22"/>
    <w:pPr>
      <w:spacing w:after="0" w:line="336" w:lineRule="exact"/>
      <w:widowControl w:val="off"/>
      <w:pBdr>
        <w:top w:val="none" w:color="000000" w:sz="4" w:space="0"/>
        <w:left w:val="none" w:color="000000" w:sz="4" w:space="0"/>
        <w:bottom w:val="none" w:color="000000" w:sz="4" w:space="0"/>
        <w:right w:val="none" w:color="000000" w:sz="4" w:space="0"/>
        <w:between w:val="none" w:color="000000" w:sz="4" w:space="0"/>
      </w:pBdr>
    </w:pPr>
    <w:rPr>
      <w:rFonts w:ascii="Tahoma" w:hAnsi="Tahoma" w:eastAsia="Arial Unicode MS" w:cs="Arial Unicode MS"/>
      <w:color w:val="000000"/>
      <w:sz w:val="24"/>
      <w:szCs w:val="24"/>
      <w:lang w:eastAsia="ru-RU"/>
    </w:rPr>
  </w:style>
  <w:style w:type="numbering" w:styleId="1393" w:customStyle="1">
    <w:name w:val="Импортированный стиль 38"/>
    <w:pPr>
      <w:numPr>
        <w:ilvl w:val="0"/>
        <w:numId w:val="35"/>
      </w:numPr>
    </w:pPr>
  </w:style>
  <w:style w:type="paragraph" w:styleId="1394" w:customStyle="1">
    <w:name w:val="Style16"/>
    <w:pPr>
      <w:spacing w:after="0" w:line="240" w:lineRule="auto"/>
      <w:widowControl w:val="off"/>
      <w:pBdr>
        <w:top w:val="none" w:color="000000" w:sz="4" w:space="0"/>
        <w:left w:val="none" w:color="000000" w:sz="4" w:space="0"/>
        <w:bottom w:val="none" w:color="000000" w:sz="4" w:space="0"/>
        <w:right w:val="none" w:color="000000" w:sz="4" w:space="0"/>
        <w:between w:val="none" w:color="000000" w:sz="4" w:space="0"/>
      </w:pBdr>
    </w:pPr>
    <w:rPr>
      <w:rFonts w:ascii="Tahoma" w:hAnsi="Tahoma" w:eastAsia="Arial Unicode MS" w:cs="Arial Unicode MS"/>
      <w:color w:val="000000"/>
      <w:sz w:val="24"/>
      <w:szCs w:val="24"/>
      <w:lang w:eastAsia="ru-RU"/>
    </w:rPr>
  </w:style>
  <w:style w:type="numbering" w:styleId="1395" w:customStyle="1">
    <w:name w:val="Импортированный стиль 39"/>
    <w:pPr>
      <w:numPr>
        <w:ilvl w:val="0"/>
        <w:numId w:val="36"/>
      </w:numPr>
    </w:pPr>
  </w:style>
  <w:style w:type="paragraph" w:styleId="1396" w:customStyle="1">
    <w:name w:val="Style32"/>
    <w:pPr>
      <w:ind w:firstLine="653"/>
      <w:jc w:val="both"/>
      <w:spacing w:after="0" w:line="346" w:lineRule="exact"/>
      <w:widowControl w:val="off"/>
      <w:pBdr>
        <w:top w:val="none" w:color="000000" w:sz="4" w:space="0"/>
        <w:left w:val="none" w:color="000000" w:sz="4" w:space="0"/>
        <w:bottom w:val="none" w:color="000000" w:sz="4" w:space="0"/>
        <w:right w:val="none" w:color="000000" w:sz="4" w:space="0"/>
        <w:between w:val="none" w:color="000000" w:sz="4" w:space="0"/>
      </w:pBdr>
    </w:pPr>
    <w:rPr>
      <w:rFonts w:ascii="Tahoma" w:hAnsi="Tahoma" w:eastAsia="Arial Unicode MS" w:cs="Arial Unicode MS"/>
      <w:color w:val="000000"/>
      <w:sz w:val="24"/>
      <w:szCs w:val="24"/>
      <w:lang w:eastAsia="ru-RU"/>
    </w:rPr>
  </w:style>
  <w:style w:type="numbering" w:styleId="1397" w:customStyle="1">
    <w:name w:val="Импортированный стиль 40"/>
    <w:pPr>
      <w:numPr>
        <w:ilvl w:val="0"/>
        <w:numId w:val="37"/>
      </w:numPr>
    </w:pPr>
  </w:style>
  <w:style w:type="numbering" w:styleId="1398" w:customStyle="1">
    <w:name w:val="Импортированный стиль 41"/>
    <w:pPr>
      <w:numPr>
        <w:ilvl w:val="0"/>
        <w:numId w:val="38"/>
      </w:numPr>
    </w:pPr>
  </w:style>
  <w:style w:type="numbering" w:styleId="1399" w:customStyle="1">
    <w:name w:val="Импортированный стиль 42"/>
    <w:pPr>
      <w:numPr>
        <w:ilvl w:val="0"/>
        <w:numId w:val="39"/>
      </w:numPr>
    </w:pPr>
  </w:style>
  <w:style w:type="paragraph" w:styleId="1400">
    <w:name w:val="Block Text"/>
    <w:pPr>
      <w:ind w:firstLine="540"/>
      <w:jc w:val="both"/>
      <w:spacing w:after="0" w:line="240" w:lineRule="auto"/>
      <w:pBdr>
        <w:top w:val="none" w:color="000000" w:sz="4" w:space="0"/>
        <w:left w:val="none" w:color="000000" w:sz="4" w:space="0"/>
        <w:bottom w:val="none" w:color="000000" w:sz="4" w:space="0"/>
        <w:right w:val="none" w:color="000000" w:sz="4" w:space="0"/>
        <w:between w:val="none" w:color="000000" w:sz="4" w:space="0"/>
      </w:pBdr>
    </w:pPr>
    <w:rPr>
      <w:rFonts w:ascii="Times New Roman" w:hAnsi="Times New Roman" w:eastAsia="Times New Roman" w:cs="Times New Roman"/>
      <w:color w:val="000000"/>
      <w:sz w:val="24"/>
      <w:szCs w:val="24"/>
      <w:lang w:eastAsia="ru-RU"/>
    </w:rPr>
  </w:style>
  <w:style w:type="numbering" w:styleId="1401" w:customStyle="1">
    <w:name w:val="Импортированный стиль 43"/>
    <w:pPr>
      <w:numPr>
        <w:ilvl w:val="0"/>
        <w:numId w:val="40"/>
      </w:numPr>
    </w:pPr>
  </w:style>
  <w:style w:type="numbering" w:styleId="1402" w:customStyle="1">
    <w:name w:val="Импортированный стиль 44"/>
    <w:pPr>
      <w:numPr>
        <w:ilvl w:val="0"/>
        <w:numId w:val="41"/>
      </w:numPr>
    </w:pPr>
  </w:style>
  <w:style w:type="numbering" w:styleId="1403" w:customStyle="1">
    <w:name w:val="Импортированный стиль 45"/>
    <w:pPr>
      <w:numPr>
        <w:ilvl w:val="0"/>
        <w:numId w:val="42"/>
      </w:numPr>
    </w:pPr>
  </w:style>
  <w:style w:type="paragraph" w:styleId="1404">
    <w:name w:val="Balloon Text"/>
    <w:basedOn w:val="1146"/>
    <w:link w:val="1405"/>
    <w:semiHidden/>
    <w:unhideWhenUsed/>
    <w:pPr>
      <w:spacing w:after="0" w:line="240" w:lineRule="auto"/>
      <w:widowControl w:val="off"/>
    </w:pPr>
    <w:rPr>
      <w:rFonts w:ascii="Tahoma" w:hAnsi="Tahoma" w:eastAsia="Times New Roman" w:cs="Tahoma"/>
      <w:sz w:val="16"/>
      <w:szCs w:val="16"/>
      <w:lang w:eastAsia="ru-RU"/>
    </w:rPr>
  </w:style>
  <w:style w:type="character" w:styleId="1405" w:customStyle="1">
    <w:name w:val="Текст выноски Знак"/>
    <w:basedOn w:val="1156"/>
    <w:link w:val="1404"/>
    <w:semiHidden/>
    <w:rPr>
      <w:rFonts w:ascii="Tahoma" w:hAnsi="Tahoma" w:eastAsia="Times New Roman" w:cs="Tahoma"/>
      <w:sz w:val="16"/>
      <w:szCs w:val="16"/>
      <w:lang w:eastAsia="ru-RU"/>
    </w:rPr>
  </w:style>
  <w:style w:type="paragraph" w:styleId="1406">
    <w:name w:val="Body Text 2"/>
    <w:basedOn w:val="1146"/>
    <w:link w:val="1407"/>
    <w:unhideWhenUsed/>
    <w:pPr>
      <w:spacing w:after="120" w:line="480" w:lineRule="auto"/>
    </w:pPr>
  </w:style>
  <w:style w:type="character" w:styleId="1407" w:customStyle="1">
    <w:name w:val="Основной текст 2 Знак"/>
    <w:basedOn w:val="1156"/>
    <w:link w:val="1406"/>
  </w:style>
  <w:style w:type="paragraph" w:styleId="1408" w:customStyle="1">
    <w:name w:val="Стиль начало"/>
    <w:basedOn w:val="1146"/>
    <w:pPr>
      <w:spacing w:after="0" w:line="264" w:lineRule="auto"/>
      <w:widowControl w:val="off"/>
    </w:pPr>
    <w:rPr>
      <w:rFonts w:ascii="Times New Roman" w:hAnsi="Times New Roman" w:eastAsia="Times New Roman" w:cs="Times New Roman"/>
      <w:sz w:val="28"/>
      <w:szCs w:val="28"/>
      <w:lang w:eastAsia="ru-RU"/>
    </w:rPr>
  </w:style>
  <w:style w:type="table" w:styleId="1409">
    <w:name w:val="Table Grid"/>
    <w:basedOn w:val="1157"/>
    <w:uiPriority w:val="99"/>
    <w:pPr>
      <w:spacing w:after="0" w:line="240" w:lineRule="auto"/>
    </w:pPr>
    <w:rPr>
      <w:rFonts w:ascii="Times New Roman" w:hAnsi="Times New Roman" w:eastAsia="Times New Roman" w:cs="Times New Roman"/>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1410">
    <w:name w:val="Revision"/>
    <w:hidden/>
    <w:uiPriority w:val="99"/>
    <w:semiHidden/>
    <w:pPr>
      <w:spacing w:after="0" w:line="240" w:lineRule="auto"/>
    </w:pPr>
  </w:style>
  <w:style w:type="character" w:styleId="1411">
    <w:name w:val="page number"/>
    <w:basedOn w:val="1156"/>
    <w:rPr>
      <w:rFonts w:cs="Times New Roman"/>
    </w:rPr>
  </w:style>
  <w:style w:type="paragraph" w:styleId="1412">
    <w:name w:val="Plain Text"/>
    <w:basedOn w:val="1146"/>
    <w:link w:val="1413"/>
    <w:unhideWhenUsed/>
    <w:pPr>
      <w:spacing w:after="0" w:line="240" w:lineRule="auto"/>
    </w:pPr>
    <w:rPr>
      <w:rFonts w:ascii="Courier New" w:hAnsi="Courier New" w:eastAsia="SimSun" w:cs="Courier New"/>
      <w:sz w:val="20"/>
      <w:szCs w:val="20"/>
      <w:lang w:eastAsia="ru-RU"/>
    </w:rPr>
  </w:style>
  <w:style w:type="character" w:styleId="1413" w:customStyle="1">
    <w:name w:val="Текст Знак"/>
    <w:basedOn w:val="1156"/>
    <w:link w:val="1412"/>
    <w:rPr>
      <w:rFonts w:ascii="Courier New" w:hAnsi="Courier New" w:eastAsia="SimSun" w:cs="Courier New"/>
      <w:sz w:val="20"/>
      <w:szCs w:val="20"/>
      <w:lang w:eastAsia="ru-RU"/>
    </w:rPr>
  </w:style>
  <w:style w:type="paragraph" w:styleId="1414" w:customStyle="1">
    <w:name w:val="Heading"/>
    <w:uiPriority w:val="99"/>
    <w:pPr>
      <w:spacing w:after="0" w:line="240" w:lineRule="auto"/>
    </w:pPr>
    <w:rPr>
      <w:rFonts w:ascii="Arial" w:hAnsi="Arial" w:eastAsia="SimSun" w:cs="Arial"/>
      <w:b/>
      <w:bCs/>
      <w:lang w:eastAsia="ru-RU"/>
    </w:rPr>
  </w:style>
  <w:style w:type="paragraph" w:styleId="1415" w:customStyle="1">
    <w:name w:val="Preformat"/>
    <w:uiPriority w:val="99"/>
    <w:pPr>
      <w:spacing w:after="0" w:line="240" w:lineRule="auto"/>
    </w:pPr>
    <w:rPr>
      <w:rFonts w:ascii="Courier New" w:hAnsi="Courier New" w:eastAsia="SimSun" w:cs="Courier New"/>
      <w:sz w:val="20"/>
      <w:szCs w:val="20"/>
      <w:lang w:eastAsia="ru-RU"/>
    </w:rPr>
  </w:style>
  <w:style w:type="paragraph" w:styleId="1416" w:customStyle="1">
    <w:name w:val="xl30"/>
    <w:basedOn w:val="1146"/>
    <w:pPr>
      <w:jc w:val="center"/>
      <w:spacing w:before="100" w:beforeAutospacing="1" w:after="100" w:afterAutospacing="1" w:line="240" w:lineRule="auto"/>
      <w:pBdr>
        <w:bottom w:val="single" w:color="000000" w:sz="4" w:space="0"/>
      </w:pBdr>
    </w:pPr>
    <w:rPr>
      <w:rFonts w:ascii="Times New Roman" w:hAnsi="Times New Roman" w:eastAsia="Arial Unicode MS" w:cs="Times New Roman"/>
      <w:sz w:val="24"/>
      <w:szCs w:val="24"/>
      <w:lang w:eastAsia="ru-RU"/>
    </w:rPr>
  </w:style>
  <w:style w:type="paragraph" w:styleId="1417" w:customStyle="1">
    <w:name w:val="xl28"/>
    <w:basedOn w:val="1146"/>
    <w:pPr>
      <w:jc w:val="center"/>
      <w:spacing w:before="100" w:beforeAutospacing="1" w:after="100" w:afterAutospacing="1" w:line="240" w:lineRule="auto"/>
    </w:pPr>
    <w:rPr>
      <w:rFonts w:ascii="Times New Roman" w:hAnsi="Times New Roman" w:eastAsia="Arial Unicode MS" w:cs="Times New Roman"/>
      <w:sz w:val="32"/>
      <w:szCs w:val="32"/>
      <w:lang w:eastAsia="ru-RU"/>
    </w:rPr>
  </w:style>
  <w:style w:type="character" w:styleId="1418">
    <w:name w:val="annotation reference"/>
    <w:basedOn w:val="1156"/>
    <w:unhideWhenUsed/>
    <w:rPr>
      <w:sz w:val="16"/>
      <w:szCs w:val="16"/>
    </w:rPr>
  </w:style>
  <w:style w:type="paragraph" w:styleId="1419">
    <w:name w:val="annotation subject"/>
    <w:basedOn w:val="1382"/>
    <w:next w:val="1382"/>
    <w:link w:val="1420"/>
    <w:semiHidden/>
    <w:unhideWhenUsed/>
    <w:pPr>
      <w:spacing w:after="200"/>
      <w:pBdr>
        <w:top w:val="none" w:color="000000" w:sz="0" w:space="0"/>
        <w:left w:val="none" w:color="000000" w:sz="0" w:space="0"/>
        <w:bottom w:val="none" w:color="000000" w:sz="0" w:space="0"/>
        <w:right w:val="none" w:color="000000" w:sz="0" w:space="0"/>
        <w:between w:val="none" w:color="000000" w:sz="0" w:space="0"/>
      </w:pBdr>
    </w:pPr>
    <w:rPr>
      <w:rFonts w:asciiTheme="minorHAnsi" w:hAnsiTheme="minorHAnsi" w:eastAsiaTheme="minorHAnsi" w:cstheme="minorBidi"/>
      <w:b/>
      <w:bCs/>
      <w:color w:val="auto"/>
      <w:lang w:eastAsia="en-US"/>
    </w:rPr>
  </w:style>
  <w:style w:type="character" w:styleId="1420" w:customStyle="1">
    <w:name w:val="Тема примечания Знак"/>
    <w:basedOn w:val="1383"/>
    <w:link w:val="1419"/>
    <w:semiHidden/>
    <w:rPr>
      <w:rFonts w:ascii="Times New Roman" w:hAnsi="Times New Roman" w:eastAsia="Arial Unicode MS" w:cs="Arial Unicode MS"/>
      <w:b/>
      <w:bCs/>
      <w:color w:val="000000"/>
      <w:sz w:val="20"/>
      <w:szCs w:val="20"/>
      <w:lang w:eastAsia="ru-RU"/>
    </w:rPr>
  </w:style>
  <w:style w:type="paragraph" w:styleId="1421">
    <w:name w:val="HTML Preformatted"/>
    <w:basedOn w:val="1146"/>
    <w:link w:val="1422"/>
    <w:unhideWhenUsed/>
    <w:pPr>
      <w:spacing w:after="0" w:line="240" w:lineRule="auto"/>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pPr>
    <w:rPr>
      <w:rFonts w:ascii="Courier New" w:hAnsi="Courier New" w:eastAsia="Times New Roman" w:cs="Courier New"/>
      <w:sz w:val="24"/>
      <w:szCs w:val="24"/>
      <w:lang w:eastAsia="ru-RU"/>
    </w:rPr>
  </w:style>
  <w:style w:type="character" w:styleId="1422" w:customStyle="1">
    <w:name w:val="Стандартный HTML Знак"/>
    <w:basedOn w:val="1156"/>
    <w:link w:val="1421"/>
    <w:rPr>
      <w:rFonts w:ascii="Courier New" w:hAnsi="Courier New" w:eastAsia="Times New Roman" w:cs="Courier New"/>
      <w:sz w:val="24"/>
      <w:szCs w:val="24"/>
      <w:lang w:eastAsia="ru-RU"/>
    </w:rPr>
  </w:style>
  <w:style w:type="character" w:styleId="1423" w:customStyle="1">
    <w:name w:val="s_10"/>
    <w:basedOn w:val="1156"/>
  </w:style>
  <w:style w:type="character" w:styleId="1424" w:customStyle="1">
    <w:name w:val="ecatbody"/>
    <w:basedOn w:val="1156"/>
  </w:style>
  <w:style w:type="character" w:styleId="1425" w:customStyle="1">
    <w:name w:val="ecattext"/>
    <w:basedOn w:val="1156"/>
  </w:style>
  <w:style w:type="character" w:styleId="1426">
    <w:name w:val="Emphasis"/>
    <w:basedOn w:val="1156"/>
    <w:uiPriority w:val="20"/>
    <w:qFormat/>
    <w:rPr>
      <w:i/>
      <w:iCs/>
    </w:rPr>
  </w:style>
  <w:style w:type="paragraph" w:styleId="1427">
    <w:name w:val="Normal Indent"/>
    <w:basedOn w:val="1146"/>
    <w:pPr>
      <w:ind w:left="708"/>
      <w:spacing w:after="0" w:line="240" w:lineRule="auto"/>
    </w:pPr>
    <w:rPr>
      <w:rFonts w:ascii="Times New Roman" w:hAnsi="Times New Roman" w:eastAsia="Times New Roman" w:cs="Times New Roman"/>
      <w:sz w:val="24"/>
      <w:szCs w:val="24"/>
      <w:lang w:eastAsia="ru-RU"/>
    </w:rPr>
  </w:style>
  <w:style w:type="character" w:styleId="1428" w:customStyle="1">
    <w:name w:val="Абзац списка Знак"/>
    <w:basedOn w:val="1156"/>
    <w:link w:val="1315"/>
    <w:uiPriority w:val="34"/>
    <w:qFormat/>
    <w:rPr>
      <w:rFonts w:ascii="Arial" w:hAnsi="Arial" w:eastAsia="Times New Roman" w:cs="Arial"/>
      <w:sz w:val="20"/>
      <w:szCs w:val="20"/>
      <w:lang w:eastAsia="ru-RU"/>
    </w:rPr>
  </w:style>
  <w:style w:type="paragraph" w:styleId="1429">
    <w:name w:val="Normal (Web)"/>
    <w:basedOn w:val="1146"/>
    <w:pPr>
      <w:jc w:val="both"/>
      <w:spacing w:before="100" w:beforeAutospacing="1" w:after="100" w:afterAutospacing="1" w:line="240" w:lineRule="auto"/>
    </w:pPr>
    <w:rPr>
      <w:rFonts w:ascii="Verdana" w:hAnsi="Verdana" w:eastAsia="Times New Roman" w:cs="Verdana"/>
      <w:sz w:val="14"/>
      <w:szCs w:val="14"/>
      <w:lang w:eastAsia="ru-RU"/>
    </w:rPr>
  </w:style>
  <w:style w:type="paragraph" w:styleId="1430">
    <w:name w:val="toc 2"/>
    <w:basedOn w:val="1146"/>
    <w:next w:val="1146"/>
    <w:uiPriority w:val="39"/>
    <w:qFormat/>
    <w:pPr>
      <w:spacing w:before="240" w:after="0" w:line="240" w:lineRule="auto"/>
    </w:pPr>
    <w:rPr>
      <w:rFonts w:eastAsia="Times New Roman" w:cs="Times New Roman"/>
      <w:b/>
      <w:bCs/>
      <w:sz w:val="20"/>
      <w:szCs w:val="20"/>
      <w:lang w:eastAsia="ru-RU"/>
    </w:rPr>
  </w:style>
  <w:style w:type="paragraph" w:styleId="1431">
    <w:name w:val="TOC Heading"/>
    <w:basedOn w:val="1147"/>
    <w:next w:val="1146"/>
    <w:uiPriority w:val="39"/>
    <w:unhideWhenUsed/>
    <w:qFormat/>
    <w:pPr>
      <w:keepLines/>
      <w:keepNext/>
      <w:spacing w:before="480" w:after="0" w:line="276" w:lineRule="auto"/>
      <w:pBdr>
        <w:top w:val="none" w:color="000000" w:sz="0" w:space="0"/>
        <w:left w:val="none" w:color="000000" w:sz="0" w:space="0"/>
        <w:bottom w:val="none" w:color="000000" w:sz="0" w:space="0"/>
        <w:right w:val="none" w:color="000000" w:sz="0" w:space="0"/>
        <w:between w:val="none" w:color="000000" w:sz="0" w:space="0"/>
      </w:pBdr>
      <w:outlineLvl w:val="9"/>
    </w:pPr>
    <w:rPr>
      <w:rFonts w:ascii="Cambria" w:hAnsi="Cambria" w:eastAsia="Times New Roman" w:cs="Times New Roman"/>
      <w:b/>
      <w:bCs/>
      <w:color w:val="365f91"/>
      <w:sz w:val="28"/>
      <w:szCs w:val="28"/>
      <w:lang w:val="ru-RU" w:eastAsia="en-US"/>
    </w:rPr>
  </w:style>
  <w:style w:type="paragraph" w:styleId="1432">
    <w:name w:val="toc 1"/>
    <w:basedOn w:val="1146"/>
    <w:next w:val="1146"/>
    <w:uiPriority w:val="39"/>
    <w:qFormat/>
    <w:pPr>
      <w:spacing w:before="360" w:after="0" w:line="240" w:lineRule="auto"/>
    </w:pPr>
    <w:rPr>
      <w:rFonts w:eastAsia="Times New Roman" w:cs="Times New Roman" w:asciiTheme="majorHAnsi" w:hAnsiTheme="majorHAnsi"/>
      <w:b/>
      <w:bCs/>
      <w:caps/>
      <w:sz w:val="24"/>
      <w:szCs w:val="24"/>
      <w:lang w:eastAsia="ru-RU"/>
    </w:rPr>
  </w:style>
  <w:style w:type="paragraph" w:styleId="1433">
    <w:name w:val="No Spacing"/>
    <w:link w:val="1633"/>
    <w:uiPriority w:val="1"/>
    <w:qFormat/>
    <w:pPr>
      <w:spacing w:after="0" w:line="240" w:lineRule="auto"/>
    </w:pPr>
    <w:rPr>
      <w:rFonts w:ascii="Calibri" w:hAnsi="Calibri" w:eastAsia="Calibri" w:cs="Times New Roman"/>
    </w:rPr>
  </w:style>
  <w:style w:type="paragraph" w:styleId="1434" w:customStyle="1">
    <w:name w:val="Текст1"/>
    <w:basedOn w:val="1146"/>
    <w:pPr>
      <w:spacing w:after="0" w:line="240" w:lineRule="auto"/>
    </w:pPr>
    <w:rPr>
      <w:rFonts w:ascii="Courier New" w:hAnsi="Courier New" w:eastAsia="Times New Roman" w:cs="Times New Roman"/>
      <w:sz w:val="20"/>
      <w:szCs w:val="20"/>
      <w:lang w:eastAsia="ru-RU"/>
    </w:rPr>
  </w:style>
  <w:style w:type="paragraph" w:styleId="1435" w:customStyle="1">
    <w:name w:val="Стиль6"/>
    <w:basedOn w:val="1324"/>
    <w:link w:val="1436"/>
    <w:qFormat/>
    <w:pPr>
      <w:ind w:left="0"/>
      <w:jc w:val="center"/>
      <w:spacing w:after="0"/>
      <w:widowControl/>
      <w:tabs>
        <w:tab w:val="left" w:pos="-142" w:leader="none"/>
        <w:tab w:val="left" w:pos="284" w:leader="none"/>
      </w:tabs>
      <w:pBdr>
        <w:top w:val="none" w:color="000000" w:sz="0" w:space="0"/>
        <w:left w:val="none" w:color="000000" w:sz="0" w:space="0"/>
        <w:bottom w:val="none" w:color="000000" w:sz="0" w:space="0"/>
        <w:right w:val="none" w:color="000000" w:sz="0" w:space="0"/>
        <w:between w:val="none" w:color="000000" w:sz="0" w:space="0"/>
      </w:pBdr>
    </w:pPr>
    <w:rPr>
      <w:rFonts w:ascii="Times New Roman" w:hAnsi="Times New Roman" w:eastAsia="Times New Roman" w:cs="Times New Roman"/>
      <w:b/>
      <w:sz w:val="28"/>
      <w:szCs w:val="28"/>
    </w:rPr>
  </w:style>
  <w:style w:type="character" w:styleId="1436" w:customStyle="1">
    <w:name w:val="Стиль6 Знак"/>
    <w:basedOn w:val="1325"/>
    <w:link w:val="1435"/>
    <w:rPr>
      <w:rFonts w:ascii="Times New Roman" w:hAnsi="Times New Roman" w:eastAsia="Times New Roman" w:cs="Times New Roman"/>
      <w:b/>
      <w:color w:val="000000"/>
      <w:sz w:val="28"/>
      <w:szCs w:val="28"/>
      <w:lang w:eastAsia="ru-RU"/>
    </w:rPr>
  </w:style>
  <w:style w:type="paragraph" w:styleId="1437" w:customStyle="1">
    <w:name w:val="f"/>
    <w:basedOn w:val="1146"/>
    <w:pPr>
      <w:ind w:left="480"/>
      <w:jc w:val="both"/>
      <w:spacing w:after="0" w:line="240" w:lineRule="auto"/>
    </w:pPr>
    <w:rPr>
      <w:rFonts w:ascii="Times New Roman" w:hAnsi="Times New Roman" w:eastAsia="Times New Roman" w:cs="Times New Roman"/>
      <w:sz w:val="24"/>
      <w:szCs w:val="24"/>
      <w:lang w:eastAsia="ru-RU"/>
    </w:rPr>
  </w:style>
  <w:style w:type="character" w:styleId="1438">
    <w:name w:val="Strong"/>
    <w:basedOn w:val="1156"/>
    <w:uiPriority w:val="22"/>
    <w:qFormat/>
    <w:rPr>
      <w:rFonts w:cs="Times New Roman"/>
      <w:b/>
      <w:bCs/>
    </w:rPr>
  </w:style>
  <w:style w:type="character" w:styleId="1439" w:customStyle="1">
    <w:name w:val="dept1"/>
    <w:uiPriority w:val="99"/>
    <w:rPr>
      <w:b/>
      <w:color w:val="auto"/>
      <w:sz w:val="16"/>
    </w:rPr>
  </w:style>
  <w:style w:type="paragraph" w:styleId="1440" w:customStyle="1">
    <w:name w:val="ConsPlusNonformat"/>
    <w:uiPriority w:val="99"/>
    <w:pPr>
      <w:spacing w:after="0" w:line="240" w:lineRule="auto"/>
      <w:widowControl w:val="off"/>
    </w:pPr>
    <w:rPr>
      <w:rFonts w:ascii="Courier New" w:hAnsi="Courier New" w:eastAsia="Times New Roman" w:cs="Courier New"/>
      <w:sz w:val="20"/>
      <w:szCs w:val="20"/>
      <w:lang w:eastAsia="ru-RU"/>
    </w:rPr>
  </w:style>
  <w:style w:type="paragraph" w:styleId="1441" w:customStyle="1">
    <w:name w:val="Цитата1"/>
    <w:basedOn w:val="1146"/>
    <w:pPr>
      <w:ind w:left="760" w:right="1004" w:hanging="420"/>
      <w:jc w:val="both"/>
      <w:spacing w:after="0" w:line="300" w:lineRule="auto"/>
      <w:widowControl w:val="off"/>
    </w:pPr>
    <w:rPr>
      <w:rFonts w:ascii="Times New Roman" w:hAnsi="Times New Roman" w:eastAsia="Times New Roman" w:cs="Times New Roman"/>
      <w:sz w:val="24"/>
      <w:szCs w:val="20"/>
      <w:lang w:eastAsia="ru-RU"/>
    </w:rPr>
  </w:style>
  <w:style w:type="paragraph" w:styleId="1442">
    <w:name w:val="toc 3"/>
    <w:basedOn w:val="1146"/>
    <w:next w:val="1146"/>
    <w:uiPriority w:val="39"/>
    <w:qFormat/>
    <w:pPr>
      <w:ind w:left="200"/>
      <w:spacing w:after="0" w:line="240" w:lineRule="auto"/>
    </w:pPr>
    <w:rPr>
      <w:rFonts w:eastAsia="Times New Roman" w:cs="Times New Roman"/>
      <w:sz w:val="20"/>
      <w:szCs w:val="20"/>
      <w:lang w:eastAsia="ru-RU"/>
    </w:rPr>
  </w:style>
  <w:style w:type="paragraph" w:styleId="1443">
    <w:name w:val="toc 4"/>
    <w:basedOn w:val="1146"/>
    <w:next w:val="1146"/>
    <w:uiPriority w:val="39"/>
    <w:pPr>
      <w:ind w:left="400"/>
      <w:spacing w:after="0" w:line="240" w:lineRule="auto"/>
    </w:pPr>
    <w:rPr>
      <w:rFonts w:eastAsia="Times New Roman" w:cs="Times New Roman"/>
      <w:sz w:val="20"/>
      <w:szCs w:val="20"/>
      <w:lang w:eastAsia="ru-RU"/>
    </w:rPr>
  </w:style>
  <w:style w:type="paragraph" w:styleId="1444">
    <w:name w:val="toc 5"/>
    <w:basedOn w:val="1146"/>
    <w:next w:val="1146"/>
    <w:uiPriority w:val="39"/>
    <w:pPr>
      <w:ind w:left="600"/>
      <w:spacing w:after="0" w:line="240" w:lineRule="auto"/>
    </w:pPr>
    <w:rPr>
      <w:rFonts w:eastAsia="Times New Roman" w:cs="Times New Roman"/>
      <w:sz w:val="20"/>
      <w:szCs w:val="20"/>
      <w:lang w:eastAsia="ru-RU"/>
    </w:rPr>
  </w:style>
  <w:style w:type="paragraph" w:styleId="1445">
    <w:name w:val="toc 6"/>
    <w:basedOn w:val="1146"/>
    <w:next w:val="1146"/>
    <w:uiPriority w:val="39"/>
    <w:pPr>
      <w:ind w:left="800"/>
      <w:spacing w:after="0" w:line="240" w:lineRule="auto"/>
    </w:pPr>
    <w:rPr>
      <w:rFonts w:eastAsia="Times New Roman" w:cs="Times New Roman"/>
      <w:sz w:val="20"/>
      <w:szCs w:val="20"/>
      <w:lang w:eastAsia="ru-RU"/>
    </w:rPr>
  </w:style>
  <w:style w:type="paragraph" w:styleId="1446">
    <w:name w:val="toc 7"/>
    <w:basedOn w:val="1146"/>
    <w:next w:val="1146"/>
    <w:uiPriority w:val="39"/>
    <w:pPr>
      <w:ind w:left="1000"/>
      <w:spacing w:after="0" w:line="240" w:lineRule="auto"/>
    </w:pPr>
    <w:rPr>
      <w:rFonts w:eastAsia="Times New Roman" w:cs="Times New Roman"/>
      <w:sz w:val="20"/>
      <w:szCs w:val="20"/>
      <w:lang w:eastAsia="ru-RU"/>
    </w:rPr>
  </w:style>
  <w:style w:type="paragraph" w:styleId="1447">
    <w:name w:val="toc 8"/>
    <w:basedOn w:val="1146"/>
    <w:next w:val="1146"/>
    <w:uiPriority w:val="39"/>
    <w:pPr>
      <w:ind w:left="1200"/>
      <w:spacing w:after="0" w:line="240" w:lineRule="auto"/>
    </w:pPr>
    <w:rPr>
      <w:rFonts w:eastAsia="Times New Roman" w:cs="Times New Roman"/>
      <w:sz w:val="20"/>
      <w:szCs w:val="20"/>
      <w:lang w:eastAsia="ru-RU"/>
    </w:rPr>
  </w:style>
  <w:style w:type="paragraph" w:styleId="1448">
    <w:name w:val="toc 9"/>
    <w:basedOn w:val="1146"/>
    <w:next w:val="1146"/>
    <w:uiPriority w:val="39"/>
    <w:pPr>
      <w:ind w:left="1400"/>
      <w:spacing w:after="0" w:line="240" w:lineRule="auto"/>
    </w:pPr>
    <w:rPr>
      <w:rFonts w:eastAsia="Times New Roman" w:cs="Times New Roman"/>
      <w:sz w:val="20"/>
      <w:szCs w:val="20"/>
      <w:lang w:eastAsia="ru-RU"/>
    </w:rPr>
  </w:style>
  <w:style w:type="paragraph" w:styleId="1449" w:customStyle="1">
    <w:name w:val="Знак Знак Знак Знак Знак Знак"/>
    <w:basedOn w:val="1146"/>
    <w:pPr>
      <w:jc w:val="both"/>
      <w:spacing w:after="160" w:line="240" w:lineRule="exact"/>
    </w:pPr>
    <w:rPr>
      <w:rFonts w:ascii="Verdana" w:hAnsi="Verdana" w:eastAsia="Times New Roman" w:cs="Times New Roman"/>
      <w:sz w:val="20"/>
      <w:szCs w:val="20"/>
      <w:lang w:val="en-US"/>
    </w:rPr>
  </w:style>
  <w:style w:type="paragraph" w:styleId="1450" w:customStyle="1">
    <w:name w:val="Знак Знак Знак Знак Знак Знак Знак Знак Знак Знак Знак Знак Знак Знак Знак Знак"/>
    <w:basedOn w:val="1146"/>
    <w:pPr>
      <w:jc w:val="right"/>
      <w:spacing w:after="160" w:line="240" w:lineRule="exact"/>
      <w:widowControl w:val="off"/>
    </w:pPr>
    <w:rPr>
      <w:rFonts w:ascii="Times New Roman" w:hAnsi="Times New Roman" w:eastAsia="Times New Roman" w:cs="Times New Roman"/>
      <w:sz w:val="20"/>
      <w:szCs w:val="20"/>
      <w:lang w:val="en-GB"/>
    </w:rPr>
  </w:style>
  <w:style w:type="paragraph" w:styleId="1451" w:customStyle="1">
    <w:name w:val="Тезисы"/>
    <w:basedOn w:val="1146"/>
    <w:pPr>
      <w:jc w:val="both"/>
      <w:spacing w:before="120" w:after="120" w:line="240" w:lineRule="auto"/>
      <w:tabs>
        <w:tab w:val="left" w:pos="357" w:leader="none"/>
      </w:tabs>
    </w:pPr>
    <w:rPr>
      <w:rFonts w:ascii="Times New Roman" w:hAnsi="Times New Roman" w:eastAsia="Times New Roman" w:cs="Times New Roman"/>
      <w:sz w:val="24"/>
      <w:szCs w:val="20"/>
      <w:lang w:eastAsia="ru-RU"/>
    </w:rPr>
  </w:style>
  <w:style w:type="paragraph" w:styleId="1452" w:customStyle="1">
    <w:name w:val="Заголовок таблицы"/>
    <w:basedOn w:val="1146"/>
    <w:link w:val="1453"/>
    <w:pPr>
      <w:jc w:val="center"/>
      <w:keepLines/>
      <w:spacing w:before="120" w:after="120" w:line="240" w:lineRule="auto"/>
    </w:pPr>
    <w:rPr>
      <w:rFonts w:ascii="Arial" w:hAnsi="Arial" w:eastAsia="Times New Roman" w:cs="Times New Roman"/>
      <w:b/>
      <w:sz w:val="18"/>
      <w:szCs w:val="24"/>
      <w:lang w:eastAsia="ru-RU"/>
    </w:rPr>
  </w:style>
  <w:style w:type="character" w:styleId="1453" w:customStyle="1">
    <w:name w:val="Заголовок таблицы Знак"/>
    <w:link w:val="1452"/>
    <w:rPr>
      <w:rFonts w:ascii="Arial" w:hAnsi="Arial" w:eastAsia="Times New Roman" w:cs="Times New Roman"/>
      <w:b/>
      <w:sz w:val="18"/>
      <w:szCs w:val="24"/>
      <w:lang w:eastAsia="ru-RU"/>
    </w:rPr>
  </w:style>
  <w:style w:type="paragraph" w:styleId="1454" w:customStyle="1">
    <w:name w:val="Стиль1"/>
    <w:basedOn w:val="1147"/>
    <w:link w:val="1455"/>
    <w:qFormat/>
    <w:pPr>
      <w:numPr>
        <w:ilvl w:val="0"/>
        <w:numId w:val="43"/>
      </w:numPr>
      <w:jc w:val="both"/>
      <w:spacing w:after="0" w:line="240" w:lineRule="auto"/>
      <w:tabs>
        <w:tab w:val="left" w:pos="1276" w:leader="none"/>
      </w:tabs>
      <w:pBdr>
        <w:top w:val="none" w:color="000000" w:sz="0" w:space="0"/>
        <w:left w:val="none" w:color="000000" w:sz="0" w:space="0"/>
        <w:bottom w:val="none" w:color="000000" w:sz="0" w:space="0"/>
        <w:right w:val="none" w:color="000000" w:sz="0" w:space="0"/>
        <w:between w:val="none" w:color="000000" w:sz="0" w:space="0"/>
      </w:pBdr>
    </w:pPr>
    <w:rPr>
      <w:rFonts w:ascii="Times New Roman" w:hAnsi="Times New Roman" w:eastAsia="Times New Roman" w:cs="Times New Roman"/>
      <w:b/>
      <w:bCs/>
      <w:sz w:val="24"/>
      <w:szCs w:val="24"/>
    </w:rPr>
  </w:style>
  <w:style w:type="character" w:styleId="1455" w:customStyle="1">
    <w:name w:val="Стиль1 Знак"/>
    <w:basedOn w:val="1306"/>
    <w:link w:val="1454"/>
    <w:rPr>
      <w:rFonts w:ascii="Times New Roman" w:hAnsi="Times New Roman" w:eastAsia="Times New Roman" w:cs="Times New Roman"/>
      <w:b/>
      <w:bCs/>
      <w:color w:val="000000"/>
      <w:sz w:val="24"/>
      <w:szCs w:val="24"/>
      <w:lang w:val="en-US" w:eastAsia="ru-RU"/>
    </w:rPr>
  </w:style>
  <w:style w:type="paragraph" w:styleId="1456" w:customStyle="1">
    <w:name w:val="Текст2"/>
    <w:basedOn w:val="1146"/>
    <w:pPr>
      <w:spacing w:after="0" w:line="240" w:lineRule="auto"/>
    </w:pPr>
    <w:rPr>
      <w:rFonts w:ascii="Courier New" w:hAnsi="Courier New" w:eastAsia="Times New Roman" w:cs="Times New Roman"/>
      <w:sz w:val="20"/>
      <w:szCs w:val="20"/>
      <w:lang w:eastAsia="ru-RU"/>
    </w:rPr>
  </w:style>
  <w:style w:type="character" w:styleId="1457" w:customStyle="1">
    <w:name w:val="Основной текст_"/>
    <w:basedOn w:val="1156"/>
    <w:link w:val="1458"/>
    <w:rPr>
      <w:rFonts w:ascii="Times New Roman" w:hAnsi="Times New Roman" w:cs="Times New Roman"/>
      <w:spacing w:val="3"/>
      <w:sz w:val="21"/>
      <w:szCs w:val="21"/>
      <w:shd w:val="clear" w:color="auto" w:fill="ffffff"/>
    </w:rPr>
  </w:style>
  <w:style w:type="paragraph" w:styleId="1458" w:customStyle="1">
    <w:name w:val="Основной текст1"/>
    <w:basedOn w:val="1146"/>
    <w:link w:val="1457"/>
    <w:pPr>
      <w:ind w:hanging="360"/>
      <w:spacing w:after="240" w:line="322" w:lineRule="exact"/>
      <w:shd w:val="clear" w:color="auto" w:fill="ffffff"/>
    </w:pPr>
    <w:rPr>
      <w:rFonts w:ascii="Times New Roman" w:hAnsi="Times New Roman" w:cs="Times New Roman"/>
      <w:spacing w:val="3"/>
      <w:sz w:val="21"/>
      <w:szCs w:val="21"/>
    </w:rPr>
  </w:style>
  <w:style w:type="character" w:styleId="1459" w:customStyle="1">
    <w:name w:val="Заголовок №2_"/>
    <w:basedOn w:val="1156"/>
    <w:link w:val="1460"/>
    <w:rPr>
      <w:rFonts w:ascii="Times New Roman" w:hAnsi="Times New Roman" w:cs="Times New Roman"/>
      <w:spacing w:val="3"/>
      <w:sz w:val="21"/>
      <w:szCs w:val="21"/>
      <w:shd w:val="clear" w:color="auto" w:fill="ffffff"/>
    </w:rPr>
  </w:style>
  <w:style w:type="paragraph" w:styleId="1460" w:customStyle="1">
    <w:name w:val="Заголовок №2"/>
    <w:basedOn w:val="1146"/>
    <w:link w:val="1459"/>
    <w:pPr>
      <w:jc w:val="center"/>
      <w:spacing w:before="240" w:after="240" w:line="322" w:lineRule="exact"/>
      <w:shd w:val="clear" w:color="auto" w:fill="ffffff"/>
      <w:outlineLvl w:val="1"/>
    </w:pPr>
    <w:rPr>
      <w:rFonts w:ascii="Times New Roman" w:hAnsi="Times New Roman" w:cs="Times New Roman"/>
      <w:spacing w:val="3"/>
      <w:sz w:val="21"/>
      <w:szCs w:val="21"/>
    </w:rPr>
  </w:style>
  <w:style w:type="character" w:styleId="1461" w:customStyle="1">
    <w:name w:val="Основной текст + Полужирный"/>
    <w:basedOn w:val="1457"/>
    <w:rPr>
      <w:rFonts w:ascii="Times New Roman" w:hAnsi="Times New Roman" w:cs="Times New Roman"/>
      <w:b/>
      <w:bCs/>
      <w:spacing w:val="3"/>
      <w:sz w:val="21"/>
      <w:szCs w:val="21"/>
      <w:shd w:val="clear" w:color="auto" w:fill="ffffff"/>
    </w:rPr>
  </w:style>
  <w:style w:type="character" w:styleId="1462" w:customStyle="1">
    <w:name w:val="Подпись к таблице_"/>
    <w:basedOn w:val="1156"/>
    <w:link w:val="1463"/>
    <w:rPr>
      <w:rFonts w:ascii="Times New Roman" w:hAnsi="Times New Roman" w:cs="Times New Roman"/>
      <w:spacing w:val="3"/>
      <w:sz w:val="21"/>
      <w:szCs w:val="21"/>
      <w:shd w:val="clear" w:color="auto" w:fill="ffffff"/>
    </w:rPr>
  </w:style>
  <w:style w:type="paragraph" w:styleId="1463" w:customStyle="1">
    <w:name w:val="Подпись к таблице"/>
    <w:basedOn w:val="1146"/>
    <w:link w:val="1462"/>
    <w:pPr>
      <w:spacing w:after="0" w:line="0" w:lineRule="atLeast"/>
      <w:shd w:val="clear" w:color="auto" w:fill="ffffff"/>
    </w:pPr>
    <w:rPr>
      <w:rFonts w:ascii="Times New Roman" w:hAnsi="Times New Roman" w:cs="Times New Roman"/>
      <w:spacing w:val="3"/>
      <w:sz w:val="21"/>
      <w:szCs w:val="21"/>
    </w:rPr>
  </w:style>
  <w:style w:type="character" w:styleId="1464" w:customStyle="1">
    <w:name w:val="Сноска_"/>
    <w:basedOn w:val="1156"/>
    <w:link w:val="1465"/>
    <w:rPr>
      <w:rFonts w:ascii="Times New Roman" w:hAnsi="Times New Roman" w:cs="Times New Roman"/>
      <w:spacing w:val="-2"/>
      <w:sz w:val="16"/>
      <w:szCs w:val="16"/>
      <w:shd w:val="clear" w:color="auto" w:fill="ffffff"/>
    </w:rPr>
  </w:style>
  <w:style w:type="paragraph" w:styleId="1465" w:customStyle="1">
    <w:name w:val="Сноска"/>
    <w:basedOn w:val="1146"/>
    <w:link w:val="1464"/>
    <w:pPr>
      <w:spacing w:after="0" w:line="211" w:lineRule="exact"/>
      <w:shd w:val="clear" w:color="auto" w:fill="ffffff"/>
    </w:pPr>
    <w:rPr>
      <w:rFonts w:ascii="Times New Roman" w:hAnsi="Times New Roman" w:cs="Times New Roman"/>
      <w:spacing w:val="-2"/>
      <w:sz w:val="16"/>
      <w:szCs w:val="16"/>
    </w:rPr>
  </w:style>
  <w:style w:type="character" w:styleId="1466" w:customStyle="1">
    <w:name w:val="Заголовок №1_"/>
    <w:basedOn w:val="1156"/>
    <w:link w:val="1467"/>
    <w:rPr>
      <w:rFonts w:ascii="Times New Roman" w:hAnsi="Times New Roman" w:cs="Times New Roman"/>
      <w:spacing w:val="3"/>
      <w:sz w:val="21"/>
      <w:szCs w:val="21"/>
      <w:shd w:val="clear" w:color="auto" w:fill="ffffff"/>
    </w:rPr>
  </w:style>
  <w:style w:type="paragraph" w:styleId="1467" w:customStyle="1">
    <w:name w:val="Заголовок №1"/>
    <w:basedOn w:val="1146"/>
    <w:link w:val="1466"/>
    <w:pPr>
      <w:jc w:val="both"/>
      <w:spacing w:after="0" w:line="317" w:lineRule="exact"/>
      <w:shd w:val="clear" w:color="auto" w:fill="ffffff"/>
      <w:outlineLvl w:val="0"/>
    </w:pPr>
    <w:rPr>
      <w:rFonts w:ascii="Times New Roman" w:hAnsi="Times New Roman" w:cs="Times New Roman"/>
      <w:spacing w:val="3"/>
      <w:sz w:val="21"/>
      <w:szCs w:val="21"/>
    </w:rPr>
  </w:style>
  <w:style w:type="paragraph" w:styleId="1468" w:customStyle="1">
    <w:name w:val="Абзац списка1"/>
    <w:basedOn w:val="1146"/>
    <w:pPr>
      <w:ind w:left="720"/>
      <w:spacing w:after="0" w:line="240" w:lineRule="auto"/>
    </w:pPr>
    <w:rPr>
      <w:rFonts w:ascii="Arial" w:hAnsi="Arial" w:eastAsia="Lucida Sans Unicode" w:cs="Mangal"/>
      <w:sz w:val="20"/>
      <w:szCs w:val="24"/>
      <w:lang w:eastAsia="hi-IN" w:bidi="hi-IN"/>
    </w:rPr>
  </w:style>
  <w:style w:type="character" w:styleId="1469" w:customStyle="1">
    <w:name w:val="Font Style43"/>
    <w:basedOn w:val="1156"/>
    <w:uiPriority w:val="99"/>
    <w:rPr>
      <w:rFonts w:ascii="Times New Roman" w:hAnsi="Times New Roman" w:cs="Times New Roman"/>
      <w:sz w:val="24"/>
      <w:szCs w:val="24"/>
    </w:rPr>
  </w:style>
  <w:style w:type="character" w:styleId="1470">
    <w:name w:val="Placeholder Text"/>
    <w:basedOn w:val="1156"/>
    <w:uiPriority w:val="99"/>
    <w:semiHidden/>
    <w:rPr>
      <w:color w:val="808080"/>
    </w:rPr>
  </w:style>
  <w:style w:type="character" w:styleId="1471" w:customStyle="1">
    <w:name w:val="webofficeattributevalue"/>
    <w:basedOn w:val="1156"/>
  </w:style>
  <w:style w:type="character" w:styleId="1472" w:customStyle="1">
    <w:name w:val="Body text (2)_"/>
    <w:basedOn w:val="1156"/>
    <w:link w:val="1473"/>
    <w:rPr>
      <w:rFonts w:ascii="Times New Roman" w:hAnsi="Times New Roman" w:cs="Times New Roman"/>
      <w:sz w:val="28"/>
      <w:szCs w:val="28"/>
      <w:shd w:val="clear" w:color="auto" w:fill="ffffff"/>
    </w:rPr>
  </w:style>
  <w:style w:type="paragraph" w:styleId="1473" w:customStyle="1">
    <w:name w:val="Body text (2)"/>
    <w:basedOn w:val="1146"/>
    <w:link w:val="1472"/>
    <w:pPr>
      <w:jc w:val="both"/>
      <w:spacing w:after="0" w:line="317" w:lineRule="exact"/>
      <w:shd w:val="clear" w:color="auto" w:fill="ffffff"/>
      <w:widowControl w:val="off"/>
    </w:pPr>
    <w:rPr>
      <w:rFonts w:ascii="Times New Roman" w:hAnsi="Times New Roman" w:cs="Times New Roman"/>
      <w:sz w:val="28"/>
      <w:szCs w:val="28"/>
    </w:rPr>
  </w:style>
  <w:style w:type="character" w:styleId="1474">
    <w:name w:val="FollowedHyperlink"/>
    <w:basedOn w:val="1156"/>
    <w:unhideWhenUsed/>
    <w:rPr>
      <w:color w:val="800080"/>
      <w:u w:val="single"/>
    </w:rPr>
  </w:style>
  <w:style w:type="paragraph" w:styleId="1475" w:customStyle="1">
    <w:name w:val="xl65"/>
    <w:basedOn w:val="1146"/>
    <w:pPr>
      <w:jc w:val="center"/>
      <w:spacing w:before="100" w:beforeAutospacing="1" w:after="100" w:afterAutospacing="1" w:line="240" w:lineRule="auto"/>
      <w:pBdr>
        <w:top w:val="single" w:color="000000" w:sz="8" w:space="0"/>
        <w:left w:val="single" w:color="000000" w:sz="8" w:space="0"/>
        <w:right w:val="single" w:color="000000" w:sz="8" w:space="0"/>
      </w:pBdr>
    </w:pPr>
    <w:rPr>
      <w:rFonts w:ascii="Times New Roman" w:hAnsi="Times New Roman" w:eastAsia="Times New Roman" w:cs="Times New Roman"/>
      <w:sz w:val="16"/>
      <w:szCs w:val="16"/>
      <w:lang w:eastAsia="ru-RU"/>
    </w:rPr>
  </w:style>
  <w:style w:type="paragraph" w:styleId="1476" w:customStyle="1">
    <w:name w:val="xl66"/>
    <w:basedOn w:val="1146"/>
    <w:pPr>
      <w:jc w:val="center"/>
      <w:spacing w:before="100" w:beforeAutospacing="1" w:after="100" w:afterAutospacing="1" w:line="240" w:lineRule="auto"/>
      <w:pBdr>
        <w:bottom w:val="single" w:color="000000" w:sz="8" w:space="0"/>
        <w:right w:val="single" w:color="000000" w:sz="8" w:space="0"/>
      </w:pBdr>
    </w:pPr>
    <w:rPr>
      <w:rFonts w:ascii="Times New Roman" w:hAnsi="Times New Roman" w:eastAsia="Times New Roman" w:cs="Times New Roman"/>
      <w:sz w:val="16"/>
      <w:szCs w:val="16"/>
      <w:lang w:eastAsia="ru-RU"/>
    </w:rPr>
  </w:style>
  <w:style w:type="paragraph" w:styleId="1477" w:customStyle="1">
    <w:name w:val="xl67"/>
    <w:basedOn w:val="1146"/>
    <w:pPr>
      <w:jc w:val="both"/>
      <w:spacing w:before="100" w:beforeAutospacing="1" w:after="100" w:afterAutospacing="1" w:line="240" w:lineRule="auto"/>
    </w:pPr>
    <w:rPr>
      <w:rFonts w:ascii="Times New Roman" w:hAnsi="Times New Roman" w:eastAsia="Times New Roman" w:cs="Times New Roman"/>
      <w:sz w:val="24"/>
      <w:szCs w:val="24"/>
      <w:lang w:eastAsia="ru-RU"/>
    </w:rPr>
  </w:style>
  <w:style w:type="paragraph" w:styleId="1478" w:customStyle="1">
    <w:name w:val="xl68"/>
    <w:basedOn w:val="1146"/>
    <w:pPr>
      <w:jc w:val="center"/>
      <w:spacing w:before="100" w:beforeAutospacing="1" w:after="100" w:afterAutospacing="1" w:line="240" w:lineRule="auto"/>
      <w:pBdr>
        <w:left w:val="single" w:color="000000" w:sz="8" w:space="0"/>
        <w:right w:val="single" w:color="000000" w:sz="8" w:space="0"/>
      </w:pBdr>
    </w:pPr>
    <w:rPr>
      <w:rFonts w:ascii="Times New Roman" w:hAnsi="Times New Roman" w:eastAsia="Times New Roman" w:cs="Times New Roman"/>
      <w:sz w:val="16"/>
      <w:szCs w:val="16"/>
      <w:lang w:eastAsia="ru-RU"/>
    </w:rPr>
  </w:style>
  <w:style w:type="paragraph" w:styleId="1479" w:customStyle="1">
    <w:name w:val="xl69"/>
    <w:basedOn w:val="1146"/>
    <w:pPr>
      <w:jc w:val="center"/>
      <w:spacing w:before="100" w:beforeAutospacing="1" w:after="100" w:afterAutospacing="1" w:line="240" w:lineRule="auto"/>
      <w:pBdr>
        <w:left w:val="single" w:color="000000" w:sz="8" w:space="0"/>
        <w:bottom w:val="single" w:color="000000" w:sz="8" w:space="0"/>
        <w:right w:val="single" w:color="000000" w:sz="8" w:space="0"/>
      </w:pBdr>
    </w:pPr>
    <w:rPr>
      <w:rFonts w:ascii="Times New Roman" w:hAnsi="Times New Roman" w:eastAsia="Times New Roman" w:cs="Times New Roman"/>
      <w:sz w:val="16"/>
      <w:szCs w:val="16"/>
      <w:lang w:eastAsia="ru-RU"/>
    </w:rPr>
  </w:style>
  <w:style w:type="paragraph" w:styleId="1480" w:customStyle="1">
    <w:name w:val="xl70"/>
    <w:basedOn w:val="1146"/>
    <w:pPr>
      <w:spacing w:before="100" w:beforeAutospacing="1" w:after="100" w:afterAutospacing="1" w:line="240" w:lineRule="auto"/>
      <w:pBdr>
        <w:bottom w:val="single" w:color="000000" w:sz="8" w:space="0"/>
        <w:right w:val="single" w:color="000000" w:sz="8" w:space="0"/>
      </w:pBdr>
    </w:pPr>
    <w:rPr>
      <w:rFonts w:ascii="Times New Roman" w:hAnsi="Times New Roman" w:eastAsia="Times New Roman" w:cs="Times New Roman"/>
      <w:sz w:val="16"/>
      <w:szCs w:val="16"/>
      <w:lang w:eastAsia="ru-RU"/>
    </w:rPr>
  </w:style>
  <w:style w:type="paragraph" w:styleId="1481" w:customStyle="1">
    <w:name w:val="xl71"/>
    <w:basedOn w:val="1146"/>
    <w:pPr>
      <w:spacing w:before="100" w:beforeAutospacing="1" w:after="100" w:afterAutospacing="1" w:line="240" w:lineRule="auto"/>
      <w:pBdr>
        <w:left w:val="single" w:color="000000" w:sz="8" w:space="0"/>
        <w:bottom w:val="single" w:color="000000" w:sz="8" w:space="0"/>
        <w:right w:val="single" w:color="000000" w:sz="8" w:space="0"/>
      </w:pBdr>
    </w:pPr>
    <w:rPr>
      <w:rFonts w:ascii="Times New Roman" w:hAnsi="Times New Roman" w:eastAsia="Times New Roman" w:cs="Times New Roman"/>
      <w:sz w:val="24"/>
      <w:szCs w:val="24"/>
      <w:lang w:eastAsia="ru-RU"/>
    </w:rPr>
  </w:style>
  <w:style w:type="paragraph" w:styleId="1482" w:customStyle="1">
    <w:name w:val="xl72"/>
    <w:basedOn w:val="1146"/>
    <w:pPr>
      <w:spacing w:before="100" w:beforeAutospacing="1" w:after="100" w:afterAutospacing="1" w:line="240" w:lineRule="auto"/>
      <w:pBdr>
        <w:left w:val="single" w:color="000000" w:sz="8" w:space="0"/>
        <w:bottom w:val="single" w:color="000000" w:sz="8" w:space="0"/>
        <w:right w:val="single" w:color="000000" w:sz="8" w:space="0"/>
      </w:pBdr>
    </w:pPr>
    <w:rPr>
      <w:rFonts w:ascii="Times New Roman" w:hAnsi="Times New Roman" w:eastAsia="Times New Roman" w:cs="Times New Roman"/>
      <w:sz w:val="16"/>
      <w:szCs w:val="16"/>
      <w:lang w:eastAsia="ru-RU"/>
    </w:rPr>
  </w:style>
  <w:style w:type="paragraph" w:styleId="1483" w:customStyle="1">
    <w:name w:val="xl73"/>
    <w:basedOn w:val="1146"/>
    <w:pPr>
      <w:spacing w:before="100" w:beforeAutospacing="1" w:after="100" w:afterAutospacing="1" w:line="240" w:lineRule="auto"/>
      <w:pBdr>
        <w:left w:val="single" w:color="000000" w:sz="8" w:space="0"/>
        <w:bottom w:val="single" w:color="000000" w:sz="8" w:space="0"/>
        <w:right w:val="single" w:color="000000" w:sz="8" w:space="0"/>
      </w:pBdr>
    </w:pPr>
    <w:rPr>
      <w:rFonts w:ascii="Times New Roman" w:hAnsi="Times New Roman" w:eastAsia="Times New Roman" w:cs="Times New Roman"/>
      <w:sz w:val="16"/>
      <w:szCs w:val="16"/>
      <w:lang w:eastAsia="ru-RU"/>
    </w:rPr>
  </w:style>
  <w:style w:type="paragraph" w:styleId="1484" w:customStyle="1">
    <w:name w:val="xl74"/>
    <w:basedOn w:val="1146"/>
    <w:pPr>
      <w:jc w:val="right"/>
      <w:spacing w:before="100" w:beforeAutospacing="1" w:after="100" w:afterAutospacing="1" w:line="240" w:lineRule="auto"/>
    </w:pPr>
    <w:rPr>
      <w:rFonts w:ascii="Times New Roman" w:hAnsi="Times New Roman" w:eastAsia="Times New Roman" w:cs="Times New Roman"/>
      <w:sz w:val="24"/>
      <w:szCs w:val="24"/>
      <w:lang w:eastAsia="ru-RU"/>
    </w:rPr>
  </w:style>
  <w:style w:type="paragraph" w:styleId="1485" w:customStyle="1">
    <w:name w:val="xl75"/>
    <w:basedOn w:val="1146"/>
    <w:pPr>
      <w:spacing w:before="100" w:beforeAutospacing="1" w:after="100" w:afterAutospacing="1" w:line="240" w:lineRule="auto"/>
      <w:pBdr>
        <w:top w:val="single" w:color="000000" w:sz="8" w:space="0"/>
        <w:left w:val="single" w:color="000000" w:sz="8" w:space="0"/>
        <w:bottom w:val="single" w:color="000000" w:sz="8" w:space="0"/>
      </w:pBdr>
    </w:pPr>
    <w:rPr>
      <w:rFonts w:ascii="Times New Roman" w:hAnsi="Times New Roman" w:eastAsia="Times New Roman" w:cs="Times New Roman"/>
      <w:sz w:val="16"/>
      <w:szCs w:val="16"/>
      <w:lang w:eastAsia="ru-RU"/>
    </w:rPr>
  </w:style>
  <w:style w:type="paragraph" w:styleId="1486" w:customStyle="1">
    <w:name w:val="xl76"/>
    <w:basedOn w:val="1146"/>
    <w:pPr>
      <w:spacing w:before="100" w:beforeAutospacing="1" w:after="100" w:afterAutospacing="1" w:line="240" w:lineRule="auto"/>
      <w:pBdr>
        <w:top w:val="single" w:color="000000" w:sz="8" w:space="0"/>
        <w:bottom w:val="single" w:color="000000" w:sz="8" w:space="0"/>
      </w:pBdr>
    </w:pPr>
    <w:rPr>
      <w:rFonts w:ascii="Times New Roman" w:hAnsi="Times New Roman" w:eastAsia="Times New Roman" w:cs="Times New Roman"/>
      <w:sz w:val="16"/>
      <w:szCs w:val="16"/>
      <w:lang w:eastAsia="ru-RU"/>
    </w:rPr>
  </w:style>
  <w:style w:type="paragraph" w:styleId="1487" w:customStyle="1">
    <w:name w:val="xl77"/>
    <w:basedOn w:val="1146"/>
    <w:pPr>
      <w:spacing w:before="100" w:beforeAutospacing="1" w:after="100" w:afterAutospacing="1" w:line="240" w:lineRule="auto"/>
      <w:pBdr>
        <w:top w:val="single" w:color="000000" w:sz="8" w:space="0"/>
        <w:bottom w:val="single" w:color="000000" w:sz="8" w:space="0"/>
        <w:right w:val="single" w:color="000000" w:sz="8" w:space="0"/>
      </w:pBdr>
    </w:pPr>
    <w:rPr>
      <w:rFonts w:ascii="Times New Roman" w:hAnsi="Times New Roman" w:eastAsia="Times New Roman" w:cs="Times New Roman"/>
      <w:sz w:val="16"/>
      <w:szCs w:val="16"/>
      <w:lang w:eastAsia="ru-RU"/>
    </w:rPr>
  </w:style>
  <w:style w:type="paragraph" w:styleId="1488" w:customStyle="1">
    <w:name w:val="xl78"/>
    <w:basedOn w:val="1146"/>
    <w:pPr>
      <w:jc w:val="center"/>
      <w:spacing w:before="100" w:beforeAutospacing="1" w:after="100" w:afterAutospacing="1" w:line="240" w:lineRule="auto"/>
    </w:pPr>
    <w:rPr>
      <w:rFonts w:ascii="Times New Roman" w:hAnsi="Times New Roman" w:eastAsia="Times New Roman" w:cs="Times New Roman"/>
      <w:b/>
      <w:bCs/>
      <w:sz w:val="28"/>
      <w:szCs w:val="28"/>
      <w:lang w:eastAsia="ru-RU"/>
    </w:rPr>
  </w:style>
  <w:style w:type="paragraph" w:styleId="1489" w:customStyle="1">
    <w:name w:val="xl79"/>
    <w:basedOn w:val="1146"/>
    <w:pPr>
      <w:jc w:val="center"/>
      <w:spacing w:before="100" w:beforeAutospacing="1" w:after="100" w:afterAutospacing="1" w:line="240" w:lineRule="auto"/>
    </w:pPr>
    <w:rPr>
      <w:rFonts w:ascii="Times New Roman" w:hAnsi="Times New Roman" w:eastAsia="Times New Roman" w:cs="Times New Roman"/>
      <w:sz w:val="28"/>
      <w:szCs w:val="28"/>
      <w:lang w:eastAsia="ru-RU"/>
    </w:rPr>
  </w:style>
  <w:style w:type="paragraph" w:styleId="1490" w:customStyle="1">
    <w:name w:val="xl80"/>
    <w:basedOn w:val="1146"/>
    <w:pPr>
      <w:spacing w:before="100" w:beforeAutospacing="1" w:after="100" w:afterAutospacing="1" w:line="240" w:lineRule="auto"/>
      <w:pBdr>
        <w:top w:val="single" w:color="000000" w:sz="8" w:space="0"/>
        <w:left w:val="single" w:color="000000" w:sz="8" w:space="0"/>
        <w:right w:val="single" w:color="000000" w:sz="8" w:space="0"/>
      </w:pBdr>
    </w:pPr>
    <w:rPr>
      <w:rFonts w:ascii="Times New Roman" w:hAnsi="Times New Roman" w:eastAsia="Times New Roman" w:cs="Times New Roman"/>
      <w:sz w:val="16"/>
      <w:szCs w:val="16"/>
      <w:lang w:eastAsia="ru-RU"/>
    </w:rPr>
  </w:style>
  <w:style w:type="paragraph" w:styleId="1491" w:customStyle="1">
    <w:name w:val="xl81"/>
    <w:basedOn w:val="1146"/>
    <w:pPr>
      <w:spacing w:before="100" w:beforeAutospacing="1" w:after="100" w:afterAutospacing="1" w:line="240" w:lineRule="auto"/>
      <w:pBdr>
        <w:top w:val="single" w:color="000000" w:sz="8" w:space="0"/>
        <w:left w:val="single" w:color="000000" w:sz="8" w:space="0"/>
        <w:right w:val="single" w:color="000000" w:sz="8" w:space="0"/>
      </w:pBdr>
    </w:pPr>
    <w:rPr>
      <w:rFonts w:ascii="Times New Roman" w:hAnsi="Times New Roman" w:eastAsia="Times New Roman" w:cs="Times New Roman"/>
      <w:sz w:val="16"/>
      <w:szCs w:val="16"/>
      <w:lang w:eastAsia="ru-RU"/>
    </w:rPr>
  </w:style>
  <w:style w:type="paragraph" w:styleId="1492" w:customStyle="1">
    <w:name w:val="xl82"/>
    <w:basedOn w:val="1146"/>
    <w:pPr>
      <w:jc w:val="center"/>
      <w:spacing w:before="100" w:beforeAutospacing="1" w:after="100" w:afterAutospacing="1" w:line="240" w:lineRule="auto"/>
      <w:pBdr>
        <w:top w:val="single" w:color="000000" w:sz="8" w:space="0"/>
        <w:left w:val="single" w:color="000000" w:sz="8" w:space="0"/>
      </w:pBdr>
    </w:pPr>
    <w:rPr>
      <w:rFonts w:ascii="Times New Roman" w:hAnsi="Times New Roman" w:eastAsia="Times New Roman" w:cs="Times New Roman"/>
      <w:sz w:val="16"/>
      <w:szCs w:val="16"/>
      <w:lang w:eastAsia="ru-RU"/>
    </w:rPr>
  </w:style>
  <w:style w:type="paragraph" w:styleId="1493" w:customStyle="1">
    <w:name w:val="xl83"/>
    <w:basedOn w:val="1146"/>
    <w:pPr>
      <w:jc w:val="center"/>
      <w:spacing w:before="100" w:beforeAutospacing="1" w:after="100" w:afterAutospacing="1" w:line="240" w:lineRule="auto"/>
      <w:pBdr>
        <w:top w:val="single" w:color="000000" w:sz="8" w:space="0"/>
        <w:right w:val="single" w:color="000000" w:sz="8" w:space="0"/>
      </w:pBdr>
    </w:pPr>
    <w:rPr>
      <w:rFonts w:ascii="Times New Roman" w:hAnsi="Times New Roman" w:eastAsia="Times New Roman" w:cs="Times New Roman"/>
      <w:sz w:val="16"/>
      <w:szCs w:val="16"/>
      <w:lang w:eastAsia="ru-RU"/>
    </w:rPr>
  </w:style>
  <w:style w:type="paragraph" w:styleId="1494" w:customStyle="1">
    <w:name w:val="xl84"/>
    <w:basedOn w:val="1146"/>
    <w:pPr>
      <w:jc w:val="center"/>
      <w:spacing w:before="100" w:beforeAutospacing="1" w:after="100" w:afterAutospacing="1" w:line="240" w:lineRule="auto"/>
      <w:pBdr>
        <w:left w:val="single" w:color="000000" w:sz="8" w:space="0"/>
        <w:bottom w:val="single" w:color="000000" w:sz="8" w:space="0"/>
      </w:pBdr>
    </w:pPr>
    <w:rPr>
      <w:rFonts w:ascii="Times New Roman" w:hAnsi="Times New Roman" w:eastAsia="Times New Roman" w:cs="Times New Roman"/>
      <w:sz w:val="16"/>
      <w:szCs w:val="16"/>
      <w:lang w:eastAsia="ru-RU"/>
    </w:rPr>
  </w:style>
  <w:style w:type="paragraph" w:styleId="1495" w:customStyle="1">
    <w:name w:val="xl85"/>
    <w:basedOn w:val="1146"/>
    <w:pPr>
      <w:jc w:val="center"/>
      <w:spacing w:before="100" w:beforeAutospacing="1" w:after="100" w:afterAutospacing="1" w:line="240" w:lineRule="auto"/>
      <w:pBdr>
        <w:top w:val="single" w:color="000000" w:sz="8" w:space="0"/>
        <w:left w:val="single" w:color="000000" w:sz="8" w:space="0"/>
      </w:pBdr>
    </w:pPr>
    <w:rPr>
      <w:rFonts w:ascii="Times New Roman" w:hAnsi="Times New Roman" w:eastAsia="Times New Roman" w:cs="Times New Roman"/>
      <w:sz w:val="16"/>
      <w:szCs w:val="16"/>
      <w:lang w:eastAsia="ru-RU"/>
    </w:rPr>
  </w:style>
  <w:style w:type="paragraph" w:styleId="1496" w:customStyle="1">
    <w:name w:val="xl86"/>
    <w:basedOn w:val="1146"/>
    <w:pPr>
      <w:jc w:val="center"/>
      <w:spacing w:before="100" w:beforeAutospacing="1" w:after="100" w:afterAutospacing="1" w:line="240" w:lineRule="auto"/>
      <w:pBdr>
        <w:top w:val="single" w:color="000000" w:sz="8" w:space="0"/>
        <w:right w:val="single" w:color="000000" w:sz="8" w:space="0"/>
      </w:pBdr>
    </w:pPr>
    <w:rPr>
      <w:rFonts w:ascii="Times New Roman" w:hAnsi="Times New Roman" w:eastAsia="Times New Roman" w:cs="Times New Roman"/>
      <w:sz w:val="16"/>
      <w:szCs w:val="16"/>
      <w:lang w:eastAsia="ru-RU"/>
    </w:rPr>
  </w:style>
  <w:style w:type="paragraph" w:styleId="1497" w:customStyle="1">
    <w:name w:val="xl87"/>
    <w:basedOn w:val="1146"/>
    <w:pPr>
      <w:jc w:val="center"/>
      <w:spacing w:before="100" w:beforeAutospacing="1" w:after="100" w:afterAutospacing="1" w:line="240" w:lineRule="auto"/>
      <w:pBdr>
        <w:left w:val="single" w:color="000000" w:sz="8" w:space="0"/>
        <w:bottom w:val="single" w:color="000000" w:sz="8" w:space="0"/>
      </w:pBdr>
    </w:pPr>
    <w:rPr>
      <w:rFonts w:ascii="Times New Roman" w:hAnsi="Times New Roman" w:eastAsia="Times New Roman" w:cs="Times New Roman"/>
      <w:sz w:val="16"/>
      <w:szCs w:val="16"/>
      <w:lang w:eastAsia="ru-RU"/>
    </w:rPr>
  </w:style>
  <w:style w:type="paragraph" w:styleId="1498" w:customStyle="1">
    <w:name w:val="xl88"/>
    <w:basedOn w:val="1146"/>
    <w:pPr>
      <w:jc w:val="center"/>
      <w:spacing w:before="100" w:beforeAutospacing="1" w:after="100" w:afterAutospacing="1" w:line="240" w:lineRule="auto"/>
      <w:pBdr>
        <w:bottom w:val="single" w:color="000000" w:sz="8" w:space="0"/>
        <w:right w:val="single" w:color="000000" w:sz="8" w:space="0"/>
      </w:pBdr>
    </w:pPr>
    <w:rPr>
      <w:rFonts w:ascii="Times New Roman" w:hAnsi="Times New Roman" w:eastAsia="Times New Roman" w:cs="Times New Roman"/>
      <w:sz w:val="16"/>
      <w:szCs w:val="16"/>
      <w:lang w:eastAsia="ru-RU"/>
    </w:rPr>
  </w:style>
  <w:style w:type="paragraph" w:styleId="1499" w:customStyle="1">
    <w:name w:val="xl89"/>
    <w:basedOn w:val="1146"/>
    <w:pPr>
      <w:jc w:val="center"/>
      <w:spacing w:before="100" w:beforeAutospacing="1" w:after="100" w:afterAutospacing="1" w:line="240" w:lineRule="auto"/>
      <w:pBdr>
        <w:top w:val="single" w:color="000000" w:sz="8" w:space="0"/>
        <w:left w:val="single" w:color="000000" w:sz="8" w:space="0"/>
        <w:right w:val="single" w:color="000000" w:sz="8" w:space="0"/>
      </w:pBdr>
    </w:pPr>
    <w:rPr>
      <w:rFonts w:ascii="Times New Roman" w:hAnsi="Times New Roman" w:eastAsia="Times New Roman" w:cs="Times New Roman"/>
      <w:sz w:val="16"/>
      <w:szCs w:val="16"/>
      <w:lang w:eastAsia="ru-RU"/>
    </w:rPr>
  </w:style>
  <w:style w:type="paragraph" w:styleId="1500" w:customStyle="1">
    <w:name w:val="xl90"/>
    <w:basedOn w:val="1146"/>
    <w:pPr>
      <w:jc w:val="center"/>
      <w:spacing w:before="100" w:beforeAutospacing="1" w:after="100" w:afterAutospacing="1" w:line="240" w:lineRule="auto"/>
      <w:pBdr>
        <w:left w:val="single" w:color="000000" w:sz="8" w:space="0"/>
        <w:right w:val="single" w:color="000000" w:sz="8" w:space="0"/>
      </w:pBdr>
    </w:pPr>
    <w:rPr>
      <w:rFonts w:ascii="Times New Roman" w:hAnsi="Times New Roman" w:eastAsia="Times New Roman" w:cs="Times New Roman"/>
      <w:sz w:val="16"/>
      <w:szCs w:val="16"/>
      <w:lang w:eastAsia="ru-RU"/>
    </w:rPr>
  </w:style>
  <w:style w:type="paragraph" w:styleId="1501" w:customStyle="1">
    <w:name w:val="xl91"/>
    <w:basedOn w:val="1146"/>
    <w:pPr>
      <w:jc w:val="center"/>
      <w:spacing w:before="100" w:beforeAutospacing="1" w:after="100" w:afterAutospacing="1" w:line="240" w:lineRule="auto"/>
      <w:pBdr>
        <w:left w:val="single" w:color="000000" w:sz="8" w:space="0"/>
        <w:bottom w:val="single" w:color="000000" w:sz="8" w:space="0"/>
        <w:right w:val="single" w:color="000000" w:sz="8" w:space="0"/>
      </w:pBdr>
    </w:pPr>
    <w:rPr>
      <w:rFonts w:ascii="Times New Roman" w:hAnsi="Times New Roman" w:eastAsia="Times New Roman" w:cs="Times New Roman"/>
      <w:sz w:val="16"/>
      <w:szCs w:val="16"/>
      <w:lang w:eastAsia="ru-RU"/>
    </w:rPr>
  </w:style>
  <w:style w:type="character" w:styleId="1502" w:customStyle="1">
    <w:name w:val="defaultlabelstyle3"/>
    <w:basedOn w:val="1156"/>
    <w:rPr>
      <w:rFonts w:hint="default" w:ascii="open-sans" w:hAnsi="open-sans"/>
      <w:b w:val="0"/>
      <w:bCs w:val="0"/>
      <w:color w:val="333333"/>
      <w:sz w:val="20"/>
      <w:szCs w:val="20"/>
    </w:rPr>
  </w:style>
  <w:style w:type="character" w:styleId="1503" w:customStyle="1">
    <w:name w:val="Heading 1 Char"/>
    <w:rPr>
      <w:rFonts w:ascii="Cambria" w:hAnsi="Cambria" w:cs="Times New Roman"/>
      <w:b/>
      <w:bCs/>
      <w:sz w:val="32"/>
      <w:szCs w:val="32"/>
    </w:rPr>
  </w:style>
  <w:style w:type="character" w:styleId="1504" w:customStyle="1">
    <w:name w:val="Текст выноски Знак1"/>
    <w:basedOn w:val="1156"/>
    <w:uiPriority w:val="99"/>
    <w:semiHidden/>
    <w:rPr>
      <w:rFonts w:ascii="Tahoma" w:hAnsi="Tahoma" w:cs="Tahoma"/>
      <w:sz w:val="16"/>
      <w:szCs w:val="16"/>
    </w:rPr>
  </w:style>
  <w:style w:type="character" w:styleId="1505" w:customStyle="1">
    <w:name w:val="Title Char"/>
    <w:rPr>
      <w:rFonts w:ascii="Cambria" w:hAnsi="Cambria" w:cs="Times New Roman"/>
      <w:b/>
      <w:bCs/>
      <w:sz w:val="32"/>
      <w:szCs w:val="32"/>
    </w:rPr>
  </w:style>
  <w:style w:type="character" w:styleId="1506" w:customStyle="1">
    <w:name w:val="webofficeattributevalue1"/>
    <w:rPr>
      <w:rFonts w:ascii="Verdana" w:hAnsi="Verdana" w:cs="Times New Roman"/>
      <w:color w:val="000000"/>
      <w:sz w:val="18"/>
      <w:szCs w:val="18"/>
      <w:u w:val="none"/>
    </w:rPr>
  </w:style>
  <w:style w:type="paragraph" w:styleId="1507" w:customStyle="1">
    <w:name w:val="Абзац списка5"/>
    <w:basedOn w:val="1146"/>
    <w:uiPriority w:val="34"/>
    <w:qFormat/>
    <w:pPr>
      <w:ind w:left="720"/>
      <w:spacing w:after="0" w:line="240" w:lineRule="auto"/>
    </w:pPr>
    <w:rPr>
      <w:rFonts w:ascii="Times New Roman" w:hAnsi="Times New Roman" w:eastAsia="Calibri" w:cs="Times New Roman"/>
      <w:sz w:val="24"/>
      <w:szCs w:val="24"/>
      <w:lang w:eastAsia="ru-RU"/>
    </w:rPr>
  </w:style>
  <w:style w:type="character" w:styleId="1508" w:customStyle="1">
    <w:name w:val="Текст примечания Знак1"/>
    <w:basedOn w:val="1156"/>
    <w:uiPriority w:val="99"/>
    <w:semiHidden/>
    <w:rPr>
      <w:rFonts w:ascii="Arial" w:hAnsi="Arial" w:cs="Arial"/>
    </w:rPr>
  </w:style>
  <w:style w:type="character" w:styleId="1509" w:customStyle="1">
    <w:name w:val="Ариал Знак1"/>
    <w:link w:val="1328"/>
    <w:rPr>
      <w:rFonts w:ascii="Arial" w:hAnsi="Arial" w:eastAsia="Arial" w:cs="Arial"/>
      <w:color w:val="000000"/>
      <w:sz w:val="24"/>
      <w:szCs w:val="24"/>
      <w:lang w:eastAsia="ru-RU"/>
    </w:rPr>
  </w:style>
  <w:style w:type="character" w:styleId="1510">
    <w:name w:val="HTML Typewriter"/>
    <w:uiPriority w:val="99"/>
    <w:semiHidden/>
    <w:rPr>
      <w:rFonts w:ascii="Courier New" w:hAnsi="Courier New" w:cs="Courier New"/>
      <w:sz w:val="20"/>
      <w:szCs w:val="20"/>
    </w:rPr>
  </w:style>
  <w:style w:type="character" w:styleId="1511" w:customStyle="1">
    <w:name w:val="Header Char"/>
    <w:semiHidden/>
    <w:rPr>
      <w:rFonts w:ascii="Arial" w:hAnsi="Arial" w:cs="Arial"/>
      <w:sz w:val="20"/>
      <w:szCs w:val="20"/>
    </w:rPr>
  </w:style>
  <w:style w:type="paragraph" w:styleId="1512" w:customStyle="1">
    <w:name w:val="Без интервала1"/>
    <w:pPr>
      <w:spacing w:after="0" w:line="240" w:lineRule="auto"/>
    </w:pPr>
    <w:rPr>
      <w:rFonts w:ascii="Calibri" w:hAnsi="Calibri" w:eastAsia="Calibri" w:cs="Times New Roman"/>
    </w:rPr>
  </w:style>
  <w:style w:type="character" w:styleId="1513" w:customStyle="1">
    <w:name w:val="Тема примечания Знак1"/>
    <w:basedOn w:val="1508"/>
    <w:uiPriority w:val="99"/>
    <w:semiHidden/>
    <w:rPr>
      <w:rFonts w:ascii="Arial" w:hAnsi="Arial" w:cs="Arial"/>
      <w:b/>
      <w:bCs/>
    </w:rPr>
  </w:style>
  <w:style w:type="character" w:styleId="1514" w:customStyle="1">
    <w:name w:val="Знак Знак6"/>
    <w:uiPriority w:val="99"/>
    <w:rPr>
      <w:rFonts w:ascii="Arial" w:hAnsi="Arial" w:cs="Arial"/>
      <w:sz w:val="16"/>
      <w:szCs w:val="16"/>
      <w:lang w:eastAsia="ru-RU"/>
    </w:rPr>
  </w:style>
  <w:style w:type="character" w:styleId="1515" w:customStyle="1">
    <w:name w:val="Body Text Indent 3 Char"/>
    <w:semiHidden/>
    <w:rPr>
      <w:rFonts w:ascii="Arial" w:hAnsi="Arial" w:cs="Arial"/>
      <w:sz w:val="16"/>
      <w:szCs w:val="16"/>
    </w:rPr>
  </w:style>
  <w:style w:type="character" w:styleId="1516" w:customStyle="1">
    <w:name w:val="Body Text Char"/>
    <w:semiHidden/>
    <w:rPr>
      <w:rFonts w:ascii="Arial" w:hAnsi="Arial" w:cs="Arial"/>
      <w:sz w:val="20"/>
      <w:szCs w:val="20"/>
    </w:rPr>
  </w:style>
  <w:style w:type="character" w:styleId="1517" w:customStyle="1">
    <w:name w:val="Основной текст 3 Знак1"/>
    <w:rPr>
      <w:rFonts w:ascii="Times New Roman" w:hAnsi="Times New Roman" w:eastAsia="Times New Roman" w:cs="Times New Roman"/>
      <w:sz w:val="16"/>
      <w:szCs w:val="16"/>
    </w:rPr>
  </w:style>
  <w:style w:type="character" w:styleId="1518" w:customStyle="1">
    <w:name w:val="Заголовок 1 Знак Знак Знак Знак Знак Знак Знак Знак Знак Знак Знак Знак Знак Знак Знак Знак Знак Знак Знак Знак Знак Знак Знак Знак Знак Знак Знак"/>
    <w:uiPriority w:val="99"/>
    <w:rPr>
      <w:sz w:val="24"/>
      <w:szCs w:val="24"/>
      <w:lang w:val="ru-RU" w:eastAsia="ru-RU" w:bidi="ar-SA"/>
    </w:rPr>
  </w:style>
  <w:style w:type="character" w:styleId="1519" w:customStyle="1">
    <w:name w:val="2 Знак"/>
    <w:rPr>
      <w:b/>
      <w:bCs/>
      <w:sz w:val="32"/>
      <w:szCs w:val="32"/>
      <w:lang w:val="ru-RU" w:eastAsia="ru-RU" w:bidi="ar-SA"/>
    </w:rPr>
  </w:style>
  <w:style w:type="character" w:styleId="1520" w:customStyle="1">
    <w:name w:val="текст Знак Знак"/>
    <w:rPr>
      <w:sz w:val="28"/>
      <w:szCs w:val="28"/>
      <w:lang w:val="ru-RU" w:eastAsia="ru-RU" w:bidi="ar-SA"/>
    </w:rPr>
  </w:style>
  <w:style w:type="character" w:styleId="1521" w:customStyle="1">
    <w:name w:val="комментарий"/>
    <w:rPr>
      <w:b/>
      <w:bCs/>
      <w:i/>
      <w:iCs/>
      <w:shd w:val="clear" w:color="auto" w:fill="ffff99"/>
    </w:rPr>
  </w:style>
  <w:style w:type="paragraph" w:styleId="1522" w:customStyle="1">
    <w:name w:val="ConsNormal"/>
    <w:pPr>
      <w:ind w:firstLine="720"/>
      <w:spacing w:after="0" w:line="240" w:lineRule="auto"/>
      <w:widowControl w:val="off"/>
    </w:pPr>
    <w:rPr>
      <w:rFonts w:ascii="Arial" w:hAnsi="Arial" w:eastAsia="Times New Roman" w:cs="Arial"/>
      <w:sz w:val="20"/>
      <w:szCs w:val="20"/>
      <w:lang w:eastAsia="ru-RU"/>
    </w:rPr>
  </w:style>
  <w:style w:type="paragraph" w:styleId="1523" w:customStyle="1">
    <w:name w:val="Íîðìàëüíûé"/>
    <w:pPr>
      <w:spacing w:after="0" w:line="240" w:lineRule="auto"/>
    </w:pPr>
    <w:rPr>
      <w:rFonts w:ascii="Times New Roman" w:hAnsi="Times New Roman" w:eastAsia="Times New Roman" w:cs="Times New Roman"/>
      <w:sz w:val="24"/>
      <w:szCs w:val="24"/>
      <w:lang w:val="en-GB" w:eastAsia="ru-RU"/>
    </w:rPr>
  </w:style>
  <w:style w:type="paragraph" w:styleId="1524" w:customStyle="1">
    <w:name w:val="Т"/>
    <w:basedOn w:val="1146"/>
    <w:link w:val="1525"/>
    <w:uiPriority w:val="99"/>
    <w:pPr>
      <w:ind w:firstLine="709"/>
      <w:jc w:val="both"/>
      <w:spacing w:after="0" w:line="240" w:lineRule="auto"/>
      <w:widowControl w:val="off"/>
    </w:pPr>
    <w:rPr>
      <w:rFonts w:ascii="Times New Roman" w:hAnsi="Times New Roman" w:eastAsia="Calibri" w:cs="Times New Roman"/>
      <w:sz w:val="24"/>
      <w:szCs w:val="24"/>
      <w:lang w:eastAsia="ru-RU"/>
    </w:rPr>
  </w:style>
  <w:style w:type="character" w:styleId="1525" w:customStyle="1">
    <w:name w:val="Т Знак"/>
    <w:link w:val="1524"/>
    <w:uiPriority w:val="99"/>
    <w:rPr>
      <w:rFonts w:ascii="Times New Roman" w:hAnsi="Times New Roman" w:eastAsia="Calibri" w:cs="Times New Roman"/>
      <w:sz w:val="24"/>
      <w:szCs w:val="24"/>
      <w:lang w:eastAsia="ru-RU"/>
    </w:rPr>
  </w:style>
  <w:style w:type="paragraph" w:styleId="1526" w:customStyle="1">
    <w:name w:val="Знак Знак Знак1"/>
    <w:basedOn w:val="1146"/>
    <w:pPr>
      <w:spacing w:after="160" w:line="240" w:lineRule="exact"/>
      <w:tabs>
        <w:tab w:val="num" w:pos="360" w:leader="none"/>
      </w:tabs>
    </w:pPr>
    <w:rPr>
      <w:rFonts w:ascii="Verdana" w:hAnsi="Verdana" w:eastAsia="Times New Roman" w:cs="Verdana"/>
      <w:sz w:val="20"/>
      <w:szCs w:val="20"/>
      <w:lang w:val="en-US"/>
    </w:rPr>
  </w:style>
  <w:style w:type="paragraph" w:styleId="1527">
    <w:name w:val="Caption"/>
    <w:basedOn w:val="1146"/>
    <w:next w:val="1146"/>
    <w:uiPriority w:val="99"/>
    <w:qFormat/>
    <w:pPr>
      <w:spacing w:before="360" w:after="0" w:line="240" w:lineRule="auto"/>
    </w:pPr>
    <w:rPr>
      <w:rFonts w:ascii="Times New Roman" w:hAnsi="Times New Roman" w:eastAsia="Times New Roman" w:cs="Times New Roman"/>
      <w:sz w:val="24"/>
      <w:szCs w:val="24"/>
      <w:lang w:eastAsia="ru-RU"/>
    </w:rPr>
  </w:style>
  <w:style w:type="paragraph" w:styleId="1528" w:customStyle="1">
    <w:name w:val="font6"/>
    <w:basedOn w:val="1146"/>
    <w:pPr>
      <w:spacing w:before="100" w:beforeAutospacing="1" w:after="100" w:afterAutospacing="1" w:line="240" w:lineRule="auto"/>
    </w:pPr>
    <w:rPr>
      <w:rFonts w:ascii="Arial CYR" w:hAnsi="Arial CYR" w:eastAsia="Arial Unicode MS" w:cs="Arial CYR"/>
      <w:sz w:val="24"/>
      <w:szCs w:val="24"/>
      <w:lang w:eastAsia="ru-RU"/>
    </w:rPr>
  </w:style>
  <w:style w:type="paragraph" w:styleId="1529" w:customStyle="1">
    <w:name w:val="Таблицы (моноширинный)"/>
    <w:basedOn w:val="1146"/>
    <w:next w:val="1146"/>
    <w:pPr>
      <w:jc w:val="both"/>
      <w:spacing w:after="0" w:line="240" w:lineRule="auto"/>
    </w:pPr>
    <w:rPr>
      <w:rFonts w:ascii="Courier New" w:hAnsi="Courier New" w:eastAsia="Times New Roman" w:cs="Courier New"/>
      <w:sz w:val="32"/>
      <w:szCs w:val="32"/>
      <w:lang w:eastAsia="ru-RU"/>
    </w:rPr>
  </w:style>
  <w:style w:type="character" w:styleId="1530" w:customStyle="1">
    <w:name w:val="Цветовое выделение"/>
    <w:rPr>
      <w:b/>
      <w:bCs/>
      <w:color w:val="000080"/>
      <w:sz w:val="28"/>
      <w:szCs w:val="28"/>
    </w:rPr>
  </w:style>
  <w:style w:type="paragraph" w:styleId="1531" w:customStyle="1">
    <w:name w:val="Прижатый влево"/>
    <w:basedOn w:val="1146"/>
    <w:next w:val="1146"/>
    <w:pPr>
      <w:spacing w:after="0" w:line="240" w:lineRule="auto"/>
    </w:pPr>
    <w:rPr>
      <w:rFonts w:ascii="Arial" w:hAnsi="Arial" w:eastAsia="Times New Roman" w:cs="Times New Roman"/>
      <w:sz w:val="28"/>
      <w:szCs w:val="28"/>
      <w:lang w:eastAsia="ru-RU"/>
    </w:rPr>
  </w:style>
  <w:style w:type="character" w:styleId="1532" w:customStyle="1">
    <w:name w:val="Гипертекстовая ссылка"/>
    <w:rPr>
      <w:b/>
      <w:bCs/>
      <w:color w:val="008000"/>
      <w:sz w:val="28"/>
      <w:szCs w:val="28"/>
    </w:rPr>
  </w:style>
  <w:style w:type="character" w:styleId="1533" w:customStyle="1">
    <w:name w:val="Стандартный HTML Знак1"/>
    <w:basedOn w:val="1156"/>
    <w:uiPriority w:val="99"/>
    <w:semiHidden/>
    <w:rPr>
      <w:rFonts w:ascii="Consolas" w:hAnsi="Consolas" w:cs="Consolas"/>
    </w:rPr>
  </w:style>
  <w:style w:type="character" w:styleId="1534" w:customStyle="1">
    <w:name w:val="RTF_Num 2 1"/>
    <w:rPr>
      <w:rFonts w:ascii="Symbol" w:hAnsi="Symbol"/>
    </w:rPr>
  </w:style>
  <w:style w:type="character" w:styleId="1535" w:customStyle="1">
    <w:name w:val="бычный Знак"/>
    <w:link w:val="1368"/>
    <w:rPr>
      <w:rFonts w:ascii="Times New Roman" w:hAnsi="Times New Roman" w:eastAsia="Arial Unicode MS" w:cs="Arial Unicode MS"/>
      <w:color w:val="000000"/>
      <w:sz w:val="24"/>
      <w:szCs w:val="24"/>
      <w:lang w:eastAsia="ru-RU"/>
    </w:rPr>
  </w:style>
  <w:style w:type="character" w:styleId="1536" w:customStyle="1">
    <w:name w:val="Заголовок 3 Знак1"/>
    <w:semiHidden/>
    <w:rPr>
      <w:rFonts w:ascii="Cambria" w:hAnsi="Cambria" w:eastAsia="Times New Roman" w:cs="Times New Roman"/>
      <w:b/>
      <w:bCs/>
      <w:color w:val="4f81bd"/>
    </w:rPr>
  </w:style>
  <w:style w:type="character" w:styleId="1537" w:customStyle="1">
    <w:name w:val="Заголовок 5 Знак1"/>
    <w:semiHidden/>
    <w:rPr>
      <w:rFonts w:ascii="Cambria" w:hAnsi="Cambria" w:eastAsia="Times New Roman" w:cs="Times New Roman"/>
      <w:color w:val="243f60"/>
    </w:rPr>
  </w:style>
  <w:style w:type="character" w:styleId="1538" w:customStyle="1">
    <w:name w:val="Заголовок 6 Знак1"/>
    <w:semiHidden/>
    <w:rPr>
      <w:rFonts w:ascii="Cambria" w:hAnsi="Cambria" w:eastAsia="Times New Roman" w:cs="Times New Roman"/>
      <w:i/>
      <w:iCs/>
      <w:color w:val="243f60"/>
    </w:rPr>
  </w:style>
  <w:style w:type="character" w:styleId="1539" w:customStyle="1">
    <w:name w:val="Заголовок 7 Знак1"/>
    <w:semiHidden/>
    <w:rPr>
      <w:rFonts w:ascii="Cambria" w:hAnsi="Cambria" w:eastAsia="Times New Roman" w:cs="Times New Roman"/>
      <w:i/>
      <w:iCs/>
      <w:color w:val="404040"/>
    </w:rPr>
  </w:style>
  <w:style w:type="character" w:styleId="1540" w:customStyle="1">
    <w:name w:val="Основной текст с отступом Знак1"/>
    <w:semiHidden/>
    <w:rPr>
      <w:rFonts w:ascii="Arial" w:hAnsi="Arial" w:cs="Arial"/>
    </w:rPr>
  </w:style>
  <w:style w:type="paragraph" w:styleId="1541" w:customStyle="1">
    <w:name w:val="Без интервала12"/>
    <w:pPr>
      <w:spacing w:after="0" w:line="240" w:lineRule="auto"/>
    </w:pPr>
    <w:rPr>
      <w:rFonts w:ascii="Calibri" w:hAnsi="Calibri" w:eastAsia="Calibri" w:cs="Times New Roman"/>
    </w:rPr>
  </w:style>
  <w:style w:type="paragraph" w:styleId="1542" w:customStyle="1">
    <w:name w:val="Рецензия1"/>
    <w:hidden/>
    <w:uiPriority w:val="99"/>
    <w:semiHidden/>
    <w:pPr>
      <w:spacing w:after="0" w:line="240" w:lineRule="auto"/>
    </w:pPr>
    <w:rPr>
      <w:rFonts w:ascii="Arial" w:hAnsi="Arial" w:eastAsia="Calibri" w:cs="Arial"/>
      <w:sz w:val="20"/>
      <w:szCs w:val="20"/>
      <w:lang w:eastAsia="ru-RU"/>
    </w:rPr>
  </w:style>
  <w:style w:type="paragraph" w:styleId="1543">
    <w:name w:val="List Bullet"/>
    <w:basedOn w:val="1146"/>
    <w:unhideWhenUsed/>
    <w:pPr>
      <w:ind w:left="360" w:hanging="360"/>
      <w:spacing w:after="0" w:line="240" w:lineRule="auto"/>
    </w:pPr>
    <w:rPr>
      <w:rFonts w:ascii="Times New Roman" w:hAnsi="Times New Roman" w:eastAsia="Times New Roman" w:cs="Times New Roman"/>
      <w:sz w:val="24"/>
      <w:szCs w:val="24"/>
      <w:lang w:eastAsia="ru-RU"/>
    </w:rPr>
  </w:style>
  <w:style w:type="paragraph" w:styleId="1544">
    <w:name w:val="List Bullet 3"/>
    <w:basedOn w:val="1146"/>
    <w:unhideWhenUsed/>
    <w:pPr>
      <w:numPr>
        <w:ilvl w:val="0"/>
        <w:numId w:val="45"/>
      </w:numPr>
      <w:ind w:left="1620" w:hanging="360"/>
      <w:jc w:val="both"/>
      <w:spacing w:after="0" w:line="240" w:lineRule="auto"/>
      <w:tabs>
        <w:tab w:val="num" w:pos="1620" w:leader="none"/>
      </w:tabs>
    </w:pPr>
    <w:rPr>
      <w:rFonts w:ascii="Times New Roman" w:hAnsi="Times New Roman" w:eastAsia="Times New Roman" w:cs="Times New Roman"/>
      <w:sz w:val="28"/>
      <w:szCs w:val="28"/>
      <w:lang w:eastAsia="ru-RU"/>
    </w:rPr>
  </w:style>
  <w:style w:type="paragraph" w:styleId="1545" w:customStyle="1">
    <w:name w:val="Подподпункт"/>
    <w:basedOn w:val="1146"/>
    <w:pPr>
      <w:ind w:left="1008" w:hanging="1008"/>
      <w:jc w:val="both"/>
      <w:spacing w:after="0" w:line="360" w:lineRule="auto"/>
      <w:tabs>
        <w:tab w:val="num" w:pos="1008" w:leader="none"/>
      </w:tabs>
    </w:pPr>
    <w:rPr>
      <w:rFonts w:ascii="Times New Roman" w:hAnsi="Times New Roman" w:eastAsia="Calibri" w:cs="Times New Roman"/>
      <w:sz w:val="28"/>
      <w:szCs w:val="28"/>
      <w:lang w:eastAsia="ru-RU"/>
    </w:rPr>
  </w:style>
  <w:style w:type="paragraph" w:styleId="1546" w:customStyle="1">
    <w:name w:val="Абзац списка3"/>
    <w:basedOn w:val="1146"/>
    <w:pPr>
      <w:ind w:left="720"/>
      <w:spacing w:after="0" w:line="240" w:lineRule="auto"/>
    </w:pPr>
    <w:rPr>
      <w:rFonts w:ascii="Times New Roman" w:hAnsi="Times New Roman" w:eastAsia="Times New Roman" w:cs="Times New Roman"/>
      <w:sz w:val="24"/>
      <w:szCs w:val="24"/>
      <w:lang w:eastAsia="ru-RU"/>
    </w:rPr>
  </w:style>
  <w:style w:type="paragraph" w:styleId="1547" w:customStyle="1">
    <w:name w:val="_Маркер (номер) - без заголовка"/>
    <w:basedOn w:val="1146"/>
    <w:pPr>
      <w:ind w:left="1304" w:hanging="595"/>
      <w:spacing w:after="0" w:line="360" w:lineRule="auto"/>
    </w:pPr>
    <w:rPr>
      <w:rFonts w:ascii="Times New Roman" w:hAnsi="Times New Roman" w:eastAsia="Times New Roman" w:cs="Times New Roman"/>
      <w:sz w:val="24"/>
      <w:szCs w:val="20"/>
      <w:lang w:eastAsia="ru-RU"/>
    </w:rPr>
  </w:style>
  <w:style w:type="paragraph" w:styleId="1548" w:customStyle="1">
    <w:name w:val="CM4"/>
    <w:basedOn w:val="1146"/>
    <w:next w:val="1146"/>
    <w:pPr>
      <w:spacing w:after="0" w:line="246" w:lineRule="atLeast"/>
      <w:widowControl w:val="off"/>
    </w:pPr>
    <w:rPr>
      <w:rFonts w:ascii="HiddenHorzOCl" w:hAnsi="HiddenHorzOCl" w:eastAsia="Calibri" w:cs="Times New Roman"/>
      <w:sz w:val="24"/>
      <w:szCs w:val="24"/>
      <w:lang w:eastAsia="ar-SA"/>
    </w:rPr>
  </w:style>
  <w:style w:type="paragraph" w:styleId="1549" w:customStyle="1">
    <w:name w:val="xl48"/>
    <w:basedOn w:val="1146"/>
    <w:pPr>
      <w:jc w:val="center"/>
      <w:spacing w:before="100" w:beforeAutospacing="1" w:after="100" w:afterAutospacing="1" w:line="240" w:lineRule="auto"/>
    </w:pPr>
    <w:rPr>
      <w:rFonts w:ascii="Arial CYR" w:hAnsi="Arial CYR" w:eastAsia="Times New Roman" w:cs="Arial CYR"/>
      <w:b/>
      <w:bCs/>
      <w:sz w:val="24"/>
      <w:szCs w:val="24"/>
      <w:lang w:eastAsia="ru-RU"/>
    </w:rPr>
  </w:style>
  <w:style w:type="paragraph" w:styleId="1550" w:customStyle="1">
    <w:name w:val="Пункт"/>
    <w:basedOn w:val="1146"/>
    <w:pPr>
      <w:ind w:left="720" w:hanging="720"/>
      <w:jc w:val="both"/>
      <w:spacing w:after="0" w:line="360" w:lineRule="auto"/>
      <w:tabs>
        <w:tab w:val="num" w:pos="720" w:leader="none"/>
      </w:tabs>
    </w:pPr>
    <w:rPr>
      <w:rFonts w:ascii="Times New Roman" w:hAnsi="Times New Roman" w:eastAsia="Times New Roman" w:cs="Times New Roman"/>
      <w:sz w:val="28"/>
      <w:szCs w:val="28"/>
      <w:lang w:eastAsia="ru-RU"/>
    </w:rPr>
  </w:style>
  <w:style w:type="paragraph" w:styleId="1551" w:customStyle="1">
    <w:name w:val="Подпункт"/>
    <w:basedOn w:val="1550"/>
    <w:pPr>
      <w:ind w:left="864" w:hanging="864"/>
      <w:tabs>
        <w:tab w:val="clear" w:pos="720" w:leader="none"/>
        <w:tab w:val="num" w:pos="864" w:leader="none"/>
      </w:tabs>
    </w:pPr>
  </w:style>
  <w:style w:type="paragraph" w:styleId="1552" w:customStyle="1">
    <w:name w:val="пункт-4"/>
    <w:basedOn w:val="1146"/>
    <w:pPr>
      <w:numPr>
        <w:ilvl w:val="3"/>
        <w:numId w:val="46"/>
      </w:numPr>
      <w:ind w:left="1418" w:hanging="1418"/>
      <w:jc w:val="both"/>
      <w:spacing w:after="0" w:line="360" w:lineRule="auto"/>
      <w:tabs>
        <w:tab w:val="num" w:pos="1418" w:leader="none"/>
      </w:tabs>
    </w:pPr>
    <w:rPr>
      <w:rFonts w:ascii="Times New Roman" w:hAnsi="Times New Roman" w:eastAsia="Times New Roman" w:cs="Times New Roman"/>
      <w:sz w:val="24"/>
      <w:szCs w:val="24"/>
      <w:lang w:eastAsia="ru-RU"/>
    </w:rPr>
  </w:style>
  <w:style w:type="paragraph" w:styleId="1553" w:customStyle="1">
    <w:name w:val="lev2"/>
    <w:basedOn w:val="1345"/>
    <w:pPr>
      <w:numPr>
        <w:ilvl w:val="1"/>
        <w:numId w:val="44"/>
      </w:numPr>
      <w:jc w:val="both"/>
      <w:spacing w:after="0"/>
      <w:widowControl/>
      <w:pBdr>
        <w:top w:val="none" w:color="000000" w:sz="0" w:space="0"/>
        <w:left w:val="none" w:color="000000" w:sz="0" w:space="0"/>
        <w:bottom w:val="none" w:color="000000" w:sz="0" w:space="0"/>
        <w:right w:val="none" w:color="000000" w:sz="0" w:space="0"/>
        <w:between w:val="none" w:color="000000" w:sz="0" w:space="0"/>
      </w:pBdr>
    </w:pPr>
    <w:rPr>
      <w:rFonts w:ascii="Times New Roman" w:hAnsi="Times New Roman" w:eastAsia="Times New Roman" w:cs="Arial"/>
      <w:sz w:val="24"/>
      <w:szCs w:val="24"/>
    </w:rPr>
  </w:style>
  <w:style w:type="paragraph" w:styleId="1554" w:customStyle="1">
    <w:name w:val="Контракт-пункт"/>
    <w:basedOn w:val="1146"/>
    <w:pPr>
      <w:ind w:left="576" w:hanging="576"/>
      <w:jc w:val="both"/>
      <w:spacing w:after="0" w:line="360" w:lineRule="auto"/>
      <w:tabs>
        <w:tab w:val="num" w:pos="576" w:leader="none"/>
        <w:tab w:val="left" w:pos="1134" w:leader="none"/>
      </w:tabs>
    </w:pPr>
    <w:rPr>
      <w:rFonts w:ascii="Times New Roman" w:hAnsi="Times New Roman" w:eastAsia="Times New Roman" w:cs="Times New Roman"/>
      <w:sz w:val="24"/>
      <w:szCs w:val="24"/>
      <w:lang w:eastAsia="ru-RU"/>
    </w:rPr>
  </w:style>
  <w:style w:type="paragraph" w:styleId="1555" w:customStyle="1">
    <w:name w:val="Контракт-подпункт"/>
    <w:basedOn w:val="1146"/>
    <w:pPr>
      <w:ind w:left="720" w:hanging="720"/>
      <w:jc w:val="both"/>
      <w:spacing w:after="0" w:line="360" w:lineRule="auto"/>
      <w:tabs>
        <w:tab w:val="num" w:pos="720" w:leader="none"/>
        <w:tab w:val="left" w:pos="1134" w:leader="none"/>
      </w:tabs>
    </w:pPr>
    <w:rPr>
      <w:rFonts w:ascii="Times New Roman" w:hAnsi="Times New Roman" w:eastAsia="Times New Roman" w:cs="Times New Roman"/>
      <w:sz w:val="24"/>
      <w:szCs w:val="24"/>
      <w:lang w:eastAsia="ru-RU"/>
    </w:rPr>
  </w:style>
  <w:style w:type="paragraph" w:styleId="1556" w:customStyle="1">
    <w:name w:val="font5"/>
    <w:basedOn w:val="1146"/>
    <w:pPr>
      <w:spacing w:before="100" w:beforeAutospacing="1" w:after="100" w:afterAutospacing="1" w:line="240" w:lineRule="auto"/>
    </w:pPr>
    <w:rPr>
      <w:rFonts w:ascii="Arial CYR" w:hAnsi="Arial CYR" w:eastAsia="Times New Roman" w:cs="Arial CYR"/>
      <w:b/>
      <w:bCs/>
      <w:sz w:val="28"/>
      <w:szCs w:val="28"/>
      <w:lang w:eastAsia="ru-RU"/>
    </w:rPr>
  </w:style>
  <w:style w:type="paragraph" w:styleId="1557" w:customStyle="1">
    <w:name w:val="font7"/>
    <w:basedOn w:val="1146"/>
    <w:pPr>
      <w:spacing w:before="100" w:beforeAutospacing="1" w:after="100" w:afterAutospacing="1" w:line="240" w:lineRule="auto"/>
    </w:pPr>
    <w:rPr>
      <w:rFonts w:ascii="Arial CYR" w:hAnsi="Arial CYR" w:eastAsia="Times New Roman" w:cs="Arial CYR"/>
      <w:b/>
      <w:bCs/>
      <w:sz w:val="16"/>
      <w:szCs w:val="16"/>
      <w:lang w:eastAsia="ru-RU"/>
    </w:rPr>
  </w:style>
  <w:style w:type="paragraph" w:styleId="1558" w:customStyle="1">
    <w:name w:val="font8"/>
    <w:basedOn w:val="1146"/>
    <w:pPr>
      <w:spacing w:before="100" w:beforeAutospacing="1" w:after="100" w:afterAutospacing="1" w:line="240" w:lineRule="auto"/>
    </w:pPr>
    <w:rPr>
      <w:rFonts w:ascii="Arial CYR" w:hAnsi="Arial CYR" w:eastAsia="Times New Roman" w:cs="Arial CYR"/>
      <w:sz w:val="26"/>
      <w:szCs w:val="26"/>
      <w:lang w:eastAsia="ru-RU"/>
    </w:rPr>
  </w:style>
  <w:style w:type="paragraph" w:styleId="1559" w:customStyle="1">
    <w:name w:val="font9"/>
    <w:basedOn w:val="1146"/>
    <w:pPr>
      <w:spacing w:before="100" w:beforeAutospacing="1" w:after="100" w:afterAutospacing="1" w:line="240" w:lineRule="auto"/>
    </w:pPr>
    <w:rPr>
      <w:rFonts w:ascii="Arial CYR" w:hAnsi="Arial CYR" w:eastAsia="Times New Roman" w:cs="Arial CYR"/>
      <w:i/>
      <w:iCs/>
      <w:sz w:val="28"/>
      <w:szCs w:val="28"/>
      <w:lang w:eastAsia="ru-RU"/>
    </w:rPr>
  </w:style>
  <w:style w:type="paragraph" w:styleId="1560" w:customStyle="1">
    <w:name w:val="xl23"/>
    <w:basedOn w:val="1146"/>
    <w:pPr>
      <w:spacing w:before="100" w:beforeAutospacing="1" w:after="100" w:afterAutospacing="1" w:line="240" w:lineRule="auto"/>
    </w:pPr>
    <w:rPr>
      <w:rFonts w:ascii="Arial CYR" w:hAnsi="Arial CYR" w:eastAsia="Times New Roman" w:cs="Arial CYR"/>
      <w:sz w:val="24"/>
      <w:szCs w:val="24"/>
      <w:lang w:eastAsia="ru-RU"/>
    </w:rPr>
  </w:style>
  <w:style w:type="paragraph" w:styleId="1561" w:customStyle="1">
    <w:name w:val="xl24"/>
    <w:basedOn w:val="1146"/>
    <w:pPr>
      <w:spacing w:before="100" w:beforeAutospacing="1" w:after="100" w:afterAutospacing="1" w:line="240" w:lineRule="auto"/>
    </w:pPr>
    <w:rPr>
      <w:rFonts w:ascii="Arial CYR" w:hAnsi="Arial CYR" w:eastAsia="Times New Roman" w:cs="Arial CYR"/>
      <w:sz w:val="28"/>
      <w:szCs w:val="28"/>
      <w:lang w:eastAsia="ru-RU"/>
    </w:rPr>
  </w:style>
  <w:style w:type="paragraph" w:styleId="1562" w:customStyle="1">
    <w:name w:val="xl25"/>
    <w:basedOn w:val="1146"/>
    <w:pPr>
      <w:spacing w:before="100" w:beforeAutospacing="1" w:after="100" w:afterAutospacing="1" w:line="240" w:lineRule="auto"/>
      <w:shd w:val="clear" w:color="auto" w:fill="ffffff"/>
    </w:pPr>
    <w:rPr>
      <w:rFonts w:ascii="Arial CYR" w:hAnsi="Arial CYR" w:eastAsia="Times New Roman" w:cs="Arial CYR"/>
      <w:sz w:val="28"/>
      <w:szCs w:val="28"/>
      <w:lang w:eastAsia="ru-RU"/>
    </w:rPr>
  </w:style>
  <w:style w:type="paragraph" w:styleId="1563" w:customStyle="1">
    <w:name w:val="xl26"/>
    <w:basedOn w:val="1146"/>
    <w:pPr>
      <w:jc w:val="center"/>
      <w:spacing w:before="100" w:beforeAutospacing="1" w:after="100" w:afterAutospacing="1" w:line="240" w:lineRule="auto"/>
      <w:shd w:val="clear" w:color="auto" w:fill="ffffff"/>
    </w:pPr>
    <w:rPr>
      <w:rFonts w:ascii="Arial CYR" w:hAnsi="Arial CYR" w:eastAsia="Times New Roman" w:cs="Arial CYR"/>
      <w:b/>
      <w:bCs/>
      <w:sz w:val="28"/>
      <w:szCs w:val="28"/>
      <w:lang w:eastAsia="ru-RU"/>
    </w:rPr>
  </w:style>
  <w:style w:type="paragraph" w:styleId="1564" w:customStyle="1">
    <w:name w:val="xl27"/>
    <w:basedOn w:val="1146"/>
    <w:pPr>
      <w:jc w:val="center"/>
      <w:spacing w:before="100" w:beforeAutospacing="1" w:after="100" w:afterAutospacing="1" w:line="240" w:lineRule="auto"/>
      <w:shd w:val="clear" w:color="auto" w:fill="ffffff"/>
      <w:pBdr>
        <w:top w:val="single" w:color="000000" w:sz="4" w:space="0"/>
        <w:left w:val="single" w:color="000000" w:sz="4" w:space="0"/>
        <w:bottom w:val="single" w:color="000000" w:sz="4" w:space="0"/>
        <w:right w:val="single" w:color="000000" w:sz="4" w:space="0"/>
      </w:pBdr>
    </w:pPr>
    <w:rPr>
      <w:rFonts w:ascii="Arial CYR" w:hAnsi="Arial CYR" w:eastAsia="Times New Roman" w:cs="Arial CYR"/>
      <w:b/>
      <w:bCs/>
      <w:sz w:val="18"/>
      <w:szCs w:val="18"/>
      <w:lang w:eastAsia="ru-RU"/>
    </w:rPr>
  </w:style>
  <w:style w:type="paragraph" w:styleId="1565" w:customStyle="1">
    <w:name w:val="xl29"/>
    <w:basedOn w:val="1146"/>
    <w:pPr>
      <w:jc w:val="center"/>
      <w:spacing w:before="100" w:beforeAutospacing="1" w:after="100" w:afterAutospacing="1" w:line="240" w:lineRule="auto"/>
      <w:shd w:val="clear" w:color="auto" w:fill="ffffff"/>
    </w:pPr>
    <w:rPr>
      <w:rFonts w:ascii="Arial CYR" w:hAnsi="Arial CYR" w:eastAsia="Times New Roman" w:cs="Arial CYR"/>
      <w:sz w:val="24"/>
      <w:szCs w:val="24"/>
      <w:lang w:eastAsia="ru-RU"/>
    </w:rPr>
  </w:style>
  <w:style w:type="paragraph" w:styleId="1566" w:customStyle="1">
    <w:name w:val="xl31"/>
    <w:basedOn w:val="1146"/>
    <w:pPr>
      <w:jc w:val="center"/>
      <w:spacing w:before="100" w:beforeAutospacing="1" w:after="100" w:afterAutospacing="1" w:line="240" w:lineRule="auto"/>
      <w:shd w:val="clear" w:color="auto" w:fill="ffffff"/>
    </w:pPr>
    <w:rPr>
      <w:rFonts w:ascii="Arial CYR" w:hAnsi="Arial CYR" w:eastAsia="Times New Roman" w:cs="Arial CYR"/>
      <w:b/>
      <w:bCs/>
      <w:i/>
      <w:iCs/>
      <w:sz w:val="16"/>
      <w:szCs w:val="16"/>
      <w:lang w:eastAsia="ru-RU"/>
    </w:rPr>
  </w:style>
  <w:style w:type="paragraph" w:styleId="1567" w:customStyle="1">
    <w:name w:val="xl32"/>
    <w:basedOn w:val="1146"/>
    <w:pPr>
      <w:jc w:val="center"/>
      <w:spacing w:before="100" w:beforeAutospacing="1" w:after="100" w:afterAutospacing="1" w:line="240" w:lineRule="auto"/>
      <w:shd w:val="clear" w:color="auto" w:fill="ffffff"/>
      <w:pBdr>
        <w:top w:val="single" w:color="000000" w:sz="4" w:space="0"/>
        <w:left w:val="single" w:color="000000" w:sz="4" w:space="0"/>
        <w:bottom w:val="single" w:color="000000" w:sz="4" w:space="0"/>
        <w:right w:val="single" w:color="000000" w:sz="4" w:space="0"/>
      </w:pBdr>
    </w:pPr>
    <w:rPr>
      <w:rFonts w:ascii="Arial CYR" w:hAnsi="Arial CYR" w:eastAsia="Times New Roman" w:cs="Arial CYR"/>
      <w:sz w:val="26"/>
      <w:szCs w:val="26"/>
      <w:lang w:eastAsia="ru-RU"/>
    </w:rPr>
  </w:style>
  <w:style w:type="paragraph" w:styleId="1568" w:customStyle="1">
    <w:name w:val="xl33"/>
    <w:basedOn w:val="1146"/>
    <w:pPr>
      <w:jc w:val="center"/>
      <w:spacing w:before="100" w:beforeAutospacing="1" w:after="100" w:afterAutospacing="1" w:line="240" w:lineRule="auto"/>
      <w:shd w:val="clear" w:color="auto" w:fill="ffffff"/>
    </w:pPr>
    <w:rPr>
      <w:rFonts w:ascii="Arial CYR" w:hAnsi="Arial CYR" w:eastAsia="Times New Roman" w:cs="Arial CYR"/>
      <w:sz w:val="24"/>
      <w:szCs w:val="24"/>
      <w:lang w:eastAsia="ru-RU"/>
    </w:rPr>
  </w:style>
  <w:style w:type="paragraph" w:styleId="1569" w:customStyle="1">
    <w:name w:val="xl34"/>
    <w:basedOn w:val="1146"/>
    <w:pPr>
      <w:spacing w:before="100" w:beforeAutospacing="1" w:after="100" w:afterAutospacing="1" w:line="240" w:lineRule="auto"/>
      <w:shd w:val="clear" w:color="auto" w:fill="ffffff"/>
    </w:pPr>
    <w:rPr>
      <w:rFonts w:ascii="Arial CYR" w:hAnsi="Arial CYR" w:eastAsia="Times New Roman" w:cs="Arial CYR"/>
      <w:sz w:val="24"/>
      <w:szCs w:val="24"/>
      <w:lang w:eastAsia="ru-RU"/>
    </w:rPr>
  </w:style>
  <w:style w:type="paragraph" w:styleId="1570" w:customStyle="1">
    <w:name w:val="xl35"/>
    <w:basedOn w:val="1146"/>
    <w:pPr>
      <w:jc w:val="center"/>
      <w:spacing w:before="100" w:beforeAutospacing="1" w:after="100" w:afterAutospacing="1" w:line="240" w:lineRule="auto"/>
      <w:shd w:val="clear" w:color="auto" w:fill="ffffff"/>
    </w:pPr>
    <w:rPr>
      <w:rFonts w:ascii="Arial CYR" w:hAnsi="Arial CYR" w:eastAsia="Times New Roman" w:cs="Arial CYR"/>
      <w:sz w:val="24"/>
      <w:szCs w:val="24"/>
      <w:lang w:eastAsia="ru-RU"/>
    </w:rPr>
  </w:style>
  <w:style w:type="paragraph" w:styleId="1571" w:customStyle="1">
    <w:name w:val="xl36"/>
    <w:basedOn w:val="1146"/>
    <w:pPr>
      <w:jc w:val="center"/>
      <w:spacing w:before="100" w:beforeAutospacing="1" w:after="100" w:afterAutospacing="1" w:line="240" w:lineRule="auto"/>
      <w:shd w:val="clear" w:color="auto" w:fill="ffffff"/>
    </w:pPr>
    <w:rPr>
      <w:rFonts w:ascii="Arial CYR" w:hAnsi="Arial CYR" w:eastAsia="Times New Roman" w:cs="Arial CYR"/>
      <w:sz w:val="24"/>
      <w:szCs w:val="24"/>
      <w:lang w:eastAsia="ru-RU"/>
    </w:rPr>
  </w:style>
  <w:style w:type="paragraph" w:styleId="1572" w:customStyle="1">
    <w:name w:val="xl37"/>
    <w:basedOn w:val="1146"/>
    <w:pPr>
      <w:spacing w:before="100" w:beforeAutospacing="1" w:after="100" w:afterAutospacing="1" w:line="240" w:lineRule="auto"/>
      <w:shd w:val="clear" w:color="auto" w:fill="ffffff"/>
    </w:pPr>
    <w:rPr>
      <w:rFonts w:ascii="Arial CYR" w:hAnsi="Arial CYR" w:eastAsia="Times New Roman" w:cs="Arial CYR"/>
      <w:sz w:val="24"/>
      <w:szCs w:val="24"/>
      <w:lang w:eastAsia="ru-RU"/>
    </w:rPr>
  </w:style>
  <w:style w:type="paragraph" w:styleId="1573" w:customStyle="1">
    <w:name w:val="xl38"/>
    <w:basedOn w:val="1146"/>
    <w:pPr>
      <w:jc w:val="center"/>
      <w:spacing w:before="100" w:beforeAutospacing="1" w:after="100" w:afterAutospacing="1" w:line="240" w:lineRule="auto"/>
      <w:shd w:val="clear" w:color="auto" w:fill="ffffff"/>
    </w:pPr>
    <w:rPr>
      <w:rFonts w:ascii="Arial CYR" w:hAnsi="Arial CYR" w:eastAsia="Times New Roman" w:cs="Arial CYR"/>
      <w:b/>
      <w:bCs/>
      <w:sz w:val="24"/>
      <w:szCs w:val="24"/>
      <w:lang w:eastAsia="ru-RU"/>
    </w:rPr>
  </w:style>
  <w:style w:type="paragraph" w:styleId="1574" w:customStyle="1">
    <w:name w:val="xl39"/>
    <w:basedOn w:val="1146"/>
    <w:pPr>
      <w:spacing w:before="100" w:beforeAutospacing="1" w:after="100" w:afterAutospacing="1" w:line="240" w:lineRule="auto"/>
      <w:shd w:val="clear" w:color="auto" w:fill="ffffff"/>
    </w:pPr>
    <w:rPr>
      <w:rFonts w:ascii="Arial CYR" w:hAnsi="Arial CYR" w:eastAsia="Times New Roman" w:cs="Arial CYR"/>
      <w:sz w:val="24"/>
      <w:szCs w:val="24"/>
      <w:lang w:eastAsia="ru-RU"/>
    </w:rPr>
  </w:style>
  <w:style w:type="paragraph" w:styleId="1575" w:customStyle="1">
    <w:name w:val="xl40"/>
    <w:basedOn w:val="1146"/>
    <w:pPr>
      <w:spacing w:before="100" w:beforeAutospacing="1" w:after="100" w:afterAutospacing="1" w:line="240" w:lineRule="auto"/>
      <w:shd w:val="clear" w:color="auto" w:fill="ffffff"/>
    </w:pPr>
    <w:rPr>
      <w:rFonts w:ascii="Arial CYR" w:hAnsi="Arial CYR" w:eastAsia="Times New Roman" w:cs="Arial CYR"/>
      <w:sz w:val="24"/>
      <w:szCs w:val="24"/>
      <w:lang w:eastAsia="ru-RU"/>
    </w:rPr>
  </w:style>
  <w:style w:type="paragraph" w:styleId="1576" w:customStyle="1">
    <w:name w:val="xl41"/>
    <w:basedOn w:val="1146"/>
    <w:pPr>
      <w:spacing w:before="100" w:beforeAutospacing="1" w:after="100" w:afterAutospacing="1" w:line="240" w:lineRule="auto"/>
      <w:shd w:val="clear" w:color="auto" w:fill="ffffff"/>
    </w:pPr>
    <w:rPr>
      <w:rFonts w:ascii="Arial CYR" w:hAnsi="Arial CYR" w:eastAsia="Times New Roman" w:cs="Arial CYR"/>
      <w:sz w:val="24"/>
      <w:szCs w:val="24"/>
      <w:lang w:eastAsia="ru-RU"/>
    </w:rPr>
  </w:style>
  <w:style w:type="paragraph" w:styleId="1577" w:customStyle="1">
    <w:name w:val="xl42"/>
    <w:basedOn w:val="1146"/>
    <w:pPr>
      <w:jc w:val="center"/>
      <w:spacing w:before="100" w:beforeAutospacing="1" w:after="100" w:afterAutospacing="1" w:line="240" w:lineRule="auto"/>
      <w:shd w:val="clear" w:color="auto" w:fill="ffffff"/>
    </w:pPr>
    <w:rPr>
      <w:rFonts w:ascii="Arial CYR" w:hAnsi="Arial CYR" w:eastAsia="Times New Roman" w:cs="Arial CYR"/>
      <w:sz w:val="24"/>
      <w:szCs w:val="24"/>
      <w:lang w:eastAsia="ru-RU"/>
    </w:rPr>
  </w:style>
  <w:style w:type="paragraph" w:styleId="1578" w:customStyle="1">
    <w:name w:val="xl43"/>
    <w:basedOn w:val="1146"/>
    <w:pPr>
      <w:spacing w:before="100" w:beforeAutospacing="1" w:after="100" w:afterAutospacing="1" w:line="240" w:lineRule="auto"/>
      <w:shd w:val="clear" w:color="auto" w:fill="ffffff"/>
    </w:pPr>
    <w:rPr>
      <w:rFonts w:ascii="Arial CYR" w:hAnsi="Arial CYR" w:eastAsia="Times New Roman" w:cs="Arial CYR"/>
      <w:b/>
      <w:bCs/>
      <w:sz w:val="24"/>
      <w:szCs w:val="24"/>
      <w:lang w:eastAsia="ru-RU"/>
    </w:rPr>
  </w:style>
  <w:style w:type="paragraph" w:styleId="1579" w:customStyle="1">
    <w:name w:val="xl44"/>
    <w:basedOn w:val="1146"/>
    <w:pPr>
      <w:jc w:val="center"/>
      <w:spacing w:before="100" w:beforeAutospacing="1" w:after="100" w:afterAutospacing="1" w:line="240" w:lineRule="auto"/>
      <w:shd w:val="clear" w:color="auto" w:fill="ffffff"/>
    </w:pPr>
    <w:rPr>
      <w:rFonts w:ascii="Arial CYR" w:hAnsi="Arial CYR" w:eastAsia="Times New Roman" w:cs="Arial CYR"/>
      <w:color w:val="0000ff"/>
      <w:sz w:val="24"/>
      <w:szCs w:val="24"/>
      <w:lang w:eastAsia="ru-RU"/>
    </w:rPr>
  </w:style>
  <w:style w:type="paragraph" w:styleId="1580" w:customStyle="1">
    <w:name w:val="xl45"/>
    <w:basedOn w:val="1146"/>
    <w:pPr>
      <w:jc w:val="center"/>
      <w:spacing w:before="100" w:beforeAutospacing="1" w:after="100" w:afterAutospacing="1" w:line="240" w:lineRule="auto"/>
      <w:shd w:val="clear" w:color="auto" w:fill="ffffff"/>
    </w:pPr>
    <w:rPr>
      <w:rFonts w:ascii="Arial CYR" w:hAnsi="Arial CYR" w:eastAsia="Times New Roman" w:cs="Arial CYR"/>
      <w:color w:val="0000ff"/>
      <w:sz w:val="24"/>
      <w:szCs w:val="24"/>
      <w:lang w:eastAsia="ru-RU"/>
    </w:rPr>
  </w:style>
  <w:style w:type="paragraph" w:styleId="1581" w:customStyle="1">
    <w:name w:val="xl46"/>
    <w:basedOn w:val="1146"/>
    <w:pPr>
      <w:jc w:val="center"/>
      <w:spacing w:before="100" w:beforeAutospacing="1" w:after="100" w:afterAutospacing="1" w:line="240" w:lineRule="auto"/>
      <w:shd w:val="clear" w:color="auto" w:fill="ffffff"/>
    </w:pPr>
    <w:rPr>
      <w:rFonts w:ascii="Arial CYR" w:hAnsi="Arial CYR" w:eastAsia="Times New Roman" w:cs="Arial CYR"/>
      <w:color w:val="0000ff"/>
      <w:sz w:val="24"/>
      <w:szCs w:val="24"/>
      <w:lang w:eastAsia="ru-RU"/>
    </w:rPr>
  </w:style>
  <w:style w:type="paragraph" w:styleId="1582" w:customStyle="1">
    <w:name w:val="xl47"/>
    <w:basedOn w:val="1146"/>
    <w:pPr>
      <w:jc w:val="center"/>
      <w:spacing w:before="100" w:beforeAutospacing="1" w:after="100" w:afterAutospacing="1" w:line="240" w:lineRule="auto"/>
      <w:shd w:val="clear" w:color="auto" w:fill="ffffff"/>
    </w:pPr>
    <w:rPr>
      <w:rFonts w:ascii="Arial CYR" w:hAnsi="Arial CYR" w:eastAsia="Times New Roman" w:cs="Arial CYR"/>
      <w:sz w:val="28"/>
      <w:szCs w:val="28"/>
      <w:lang w:eastAsia="ru-RU"/>
    </w:rPr>
  </w:style>
  <w:style w:type="paragraph" w:styleId="1583" w:customStyle="1">
    <w:name w:val="xl49"/>
    <w:basedOn w:val="1146"/>
    <w:pPr>
      <w:jc w:val="center"/>
      <w:spacing w:before="100" w:beforeAutospacing="1" w:after="100" w:afterAutospacing="1" w:line="240" w:lineRule="auto"/>
    </w:pPr>
    <w:rPr>
      <w:rFonts w:ascii="Arial CYR" w:hAnsi="Arial CYR" w:eastAsia="Times New Roman" w:cs="Arial CYR"/>
      <w:b/>
      <w:bCs/>
      <w:sz w:val="28"/>
      <w:szCs w:val="28"/>
      <w:lang w:eastAsia="ru-RU"/>
    </w:rPr>
  </w:style>
  <w:style w:type="paragraph" w:styleId="1584" w:customStyle="1">
    <w:name w:val="xl50"/>
    <w:basedOn w:val="1146"/>
    <w:pPr>
      <w:jc w:val="center"/>
      <w:spacing w:before="100" w:beforeAutospacing="1" w:after="100" w:afterAutospacing="1" w:line="240" w:lineRule="auto"/>
    </w:pPr>
    <w:rPr>
      <w:rFonts w:ascii="Arial CYR" w:hAnsi="Arial CYR" w:eastAsia="Times New Roman" w:cs="Arial CYR"/>
      <w:sz w:val="24"/>
      <w:szCs w:val="24"/>
      <w:lang w:eastAsia="ru-RU"/>
    </w:rPr>
  </w:style>
  <w:style w:type="paragraph" w:styleId="1585" w:customStyle="1">
    <w:name w:val="xl51"/>
    <w:basedOn w:val="1146"/>
    <w:pPr>
      <w:jc w:val="center"/>
      <w:spacing w:before="100" w:beforeAutospacing="1" w:after="100" w:afterAutospacing="1" w:line="240" w:lineRule="auto"/>
      <w:pBdr>
        <w:top w:val="single" w:color="000000" w:sz="4" w:space="0"/>
        <w:left w:val="single" w:color="000000" w:sz="4" w:space="0"/>
        <w:bottom w:val="single" w:color="000000" w:sz="4" w:space="0"/>
        <w:right w:val="single" w:color="000000" w:sz="4" w:space="0"/>
      </w:pBdr>
    </w:pPr>
    <w:rPr>
      <w:rFonts w:ascii="Arial CYR" w:hAnsi="Arial CYR" w:eastAsia="Times New Roman" w:cs="Arial CYR"/>
      <w:b/>
      <w:bCs/>
      <w:sz w:val="18"/>
      <w:szCs w:val="18"/>
      <w:lang w:eastAsia="ru-RU"/>
    </w:rPr>
  </w:style>
  <w:style w:type="paragraph" w:styleId="1586" w:customStyle="1">
    <w:name w:val="xl52"/>
    <w:basedOn w:val="1146"/>
    <w:pPr>
      <w:jc w:val="center"/>
      <w:spacing w:before="100" w:beforeAutospacing="1" w:after="100" w:afterAutospacing="1" w:line="240" w:lineRule="auto"/>
    </w:pPr>
    <w:rPr>
      <w:rFonts w:ascii="Arial CYR" w:hAnsi="Arial CYR" w:eastAsia="Times New Roman" w:cs="Arial CYR"/>
      <w:b/>
      <w:bCs/>
      <w:i/>
      <w:iCs/>
      <w:color w:val="0000ff"/>
      <w:sz w:val="16"/>
      <w:szCs w:val="16"/>
      <w:lang w:eastAsia="ru-RU"/>
    </w:rPr>
  </w:style>
  <w:style w:type="paragraph" w:styleId="1587" w:customStyle="1">
    <w:name w:val="xl53"/>
    <w:basedOn w:val="1146"/>
    <w:pPr>
      <w:jc w:val="center"/>
      <w:spacing w:before="100" w:beforeAutospacing="1" w:after="100" w:afterAutospacing="1" w:line="240" w:lineRule="auto"/>
    </w:pPr>
    <w:rPr>
      <w:rFonts w:ascii="Arial CYR" w:hAnsi="Arial CYR" w:eastAsia="Times New Roman" w:cs="Arial CYR"/>
      <w:sz w:val="24"/>
      <w:szCs w:val="24"/>
      <w:lang w:eastAsia="ru-RU"/>
    </w:rPr>
  </w:style>
  <w:style w:type="paragraph" w:styleId="1588" w:customStyle="1">
    <w:name w:val="xl54"/>
    <w:basedOn w:val="1146"/>
    <w:pPr>
      <w:jc w:val="center"/>
      <w:spacing w:before="100" w:beforeAutospacing="1" w:after="100" w:afterAutospacing="1" w:line="240" w:lineRule="auto"/>
      <w:shd w:val="clear" w:color="auto" w:fill="ffffff"/>
      <w:pBdr>
        <w:top w:val="single" w:color="000000" w:sz="4" w:space="0"/>
        <w:left w:val="single" w:color="000000" w:sz="4" w:space="0"/>
        <w:bottom w:val="single" w:color="000000" w:sz="4" w:space="0"/>
        <w:right w:val="single" w:color="000000" w:sz="4" w:space="0"/>
      </w:pBdr>
    </w:pPr>
    <w:rPr>
      <w:rFonts w:ascii="Arial CYR" w:hAnsi="Arial CYR" w:eastAsia="Times New Roman" w:cs="Arial CYR"/>
      <w:color w:val="0000ff"/>
      <w:sz w:val="24"/>
      <w:szCs w:val="24"/>
      <w:lang w:eastAsia="ru-RU"/>
    </w:rPr>
  </w:style>
  <w:style w:type="paragraph" w:styleId="1589" w:customStyle="1">
    <w:name w:val="xl55"/>
    <w:basedOn w:val="1146"/>
    <w:pPr>
      <w:jc w:val="center"/>
      <w:spacing w:before="100" w:beforeAutospacing="1" w:after="100" w:afterAutospacing="1" w:line="240" w:lineRule="auto"/>
      <w:pBdr>
        <w:top w:val="single" w:color="000000" w:sz="4" w:space="0"/>
        <w:left w:val="single" w:color="000000" w:sz="4" w:space="0"/>
        <w:bottom w:val="single" w:color="000000" w:sz="4" w:space="0"/>
        <w:right w:val="single" w:color="000000" w:sz="4" w:space="0"/>
      </w:pBdr>
    </w:pPr>
    <w:rPr>
      <w:rFonts w:ascii="Arial CYR" w:hAnsi="Arial CYR" w:eastAsia="Times New Roman" w:cs="Arial CYR"/>
      <w:color w:val="0000ff"/>
      <w:sz w:val="24"/>
      <w:szCs w:val="24"/>
      <w:lang w:eastAsia="ru-RU"/>
    </w:rPr>
  </w:style>
  <w:style w:type="paragraph" w:styleId="1590" w:customStyle="1">
    <w:name w:val="xl56"/>
    <w:basedOn w:val="1146"/>
    <w:pPr>
      <w:spacing w:before="100" w:beforeAutospacing="1" w:after="100" w:afterAutospacing="1" w:line="240" w:lineRule="auto"/>
    </w:pPr>
    <w:rPr>
      <w:rFonts w:ascii="Arial CYR" w:hAnsi="Arial CYR" w:eastAsia="Times New Roman" w:cs="Arial CYR"/>
      <w:b/>
      <w:bCs/>
      <w:sz w:val="28"/>
      <w:szCs w:val="28"/>
      <w:lang w:eastAsia="ru-RU"/>
    </w:rPr>
  </w:style>
  <w:style w:type="paragraph" w:styleId="1591" w:customStyle="1">
    <w:name w:val="xl57"/>
    <w:basedOn w:val="1146"/>
    <w:pPr>
      <w:spacing w:before="100" w:beforeAutospacing="1" w:after="100" w:afterAutospacing="1" w:line="240" w:lineRule="auto"/>
    </w:pPr>
    <w:rPr>
      <w:rFonts w:ascii="Arial CYR" w:hAnsi="Arial CYR" w:eastAsia="Times New Roman" w:cs="Arial CYR"/>
      <w:sz w:val="24"/>
      <w:szCs w:val="24"/>
      <w:lang w:eastAsia="ru-RU"/>
    </w:rPr>
  </w:style>
  <w:style w:type="paragraph" w:styleId="1592" w:customStyle="1">
    <w:name w:val="xl58"/>
    <w:basedOn w:val="1146"/>
    <w:pPr>
      <w:spacing w:before="100" w:beforeAutospacing="1" w:after="100" w:afterAutospacing="1" w:line="240" w:lineRule="auto"/>
      <w:shd w:val="clear" w:color="auto" w:fill="ffffff"/>
    </w:pPr>
    <w:rPr>
      <w:rFonts w:ascii="Arial CYR" w:hAnsi="Arial CYR" w:eastAsia="Times New Roman" w:cs="Arial CYR"/>
      <w:sz w:val="24"/>
      <w:szCs w:val="24"/>
      <w:lang w:eastAsia="ru-RU"/>
    </w:rPr>
  </w:style>
  <w:style w:type="paragraph" w:styleId="1593" w:customStyle="1">
    <w:name w:val="xl59"/>
    <w:basedOn w:val="1146"/>
    <w:pPr>
      <w:jc w:val="center"/>
      <w:spacing w:before="100" w:beforeAutospacing="1" w:after="100" w:afterAutospacing="1" w:line="240" w:lineRule="auto"/>
      <w:shd w:val="clear" w:color="auto" w:fill="ffffff"/>
      <w:pBdr>
        <w:top w:val="single" w:color="000000" w:sz="8" w:space="0"/>
        <w:left w:val="single" w:color="000000" w:sz="4" w:space="0"/>
        <w:bottom w:val="single" w:color="000000" w:sz="4" w:space="0"/>
        <w:right w:val="single" w:color="000000" w:sz="4" w:space="0"/>
      </w:pBdr>
    </w:pPr>
    <w:rPr>
      <w:rFonts w:ascii="Arial CYR" w:hAnsi="Arial CYR" w:eastAsia="Times New Roman" w:cs="Arial CYR"/>
      <w:b/>
      <w:bCs/>
      <w:sz w:val="18"/>
      <w:szCs w:val="18"/>
      <w:lang w:eastAsia="ru-RU"/>
    </w:rPr>
  </w:style>
  <w:style w:type="paragraph" w:styleId="1594" w:customStyle="1">
    <w:name w:val="xl60"/>
    <w:basedOn w:val="1146"/>
    <w:pPr>
      <w:jc w:val="center"/>
      <w:spacing w:before="100" w:beforeAutospacing="1" w:after="100" w:afterAutospacing="1" w:line="240" w:lineRule="auto"/>
      <w:shd w:val="clear" w:color="auto" w:fill="ffffff"/>
      <w:pBdr>
        <w:top w:val="single" w:color="000000" w:sz="4" w:space="0"/>
        <w:left w:val="single" w:color="000000" w:sz="4" w:space="0"/>
        <w:bottom w:val="single" w:color="000000" w:sz="4" w:space="0"/>
        <w:right w:val="single" w:color="000000" w:sz="4" w:space="0"/>
      </w:pBdr>
    </w:pPr>
    <w:rPr>
      <w:rFonts w:ascii="Arial CYR" w:hAnsi="Arial CYR" w:eastAsia="Times New Roman" w:cs="Arial CYR"/>
      <w:color w:val="0000ff"/>
      <w:sz w:val="24"/>
      <w:szCs w:val="24"/>
      <w:lang w:eastAsia="ru-RU"/>
    </w:rPr>
  </w:style>
  <w:style w:type="paragraph" w:styleId="1595" w:customStyle="1">
    <w:name w:val="xl61"/>
    <w:basedOn w:val="1146"/>
    <w:pPr>
      <w:jc w:val="center"/>
      <w:spacing w:before="100" w:beforeAutospacing="1" w:after="100" w:afterAutospacing="1" w:line="240" w:lineRule="auto"/>
      <w:shd w:val="clear" w:color="auto" w:fill="ffffff"/>
      <w:pBdr>
        <w:top w:val="single" w:color="000000" w:sz="4" w:space="0"/>
        <w:left w:val="single" w:color="000000" w:sz="4" w:space="0"/>
        <w:bottom w:val="single" w:color="000000" w:sz="4" w:space="0"/>
        <w:right w:val="single" w:color="000000" w:sz="4" w:space="0"/>
      </w:pBdr>
    </w:pPr>
    <w:rPr>
      <w:rFonts w:ascii="Arial CYR" w:hAnsi="Arial CYR" w:eastAsia="Times New Roman" w:cs="Arial CYR"/>
      <w:color w:val="0000ff"/>
      <w:sz w:val="24"/>
      <w:szCs w:val="24"/>
      <w:lang w:eastAsia="ru-RU"/>
    </w:rPr>
  </w:style>
  <w:style w:type="paragraph" w:styleId="1596" w:customStyle="1">
    <w:name w:val="xl62"/>
    <w:basedOn w:val="1146"/>
    <w:pPr>
      <w:jc w:val="center"/>
      <w:spacing w:before="100" w:beforeAutospacing="1" w:after="100" w:afterAutospacing="1" w:line="240" w:lineRule="auto"/>
      <w:shd w:val="clear" w:color="auto" w:fill="ffffff"/>
      <w:pBdr>
        <w:top w:val="single" w:color="000000" w:sz="4" w:space="0"/>
        <w:left w:val="single" w:color="000000" w:sz="4" w:space="0"/>
        <w:right w:val="single" w:color="000000" w:sz="4" w:space="0"/>
      </w:pBdr>
    </w:pPr>
    <w:rPr>
      <w:rFonts w:ascii="Arial CYR" w:hAnsi="Arial CYR" w:eastAsia="Times New Roman" w:cs="Arial CYR"/>
      <w:color w:val="0000ff"/>
      <w:sz w:val="24"/>
      <w:szCs w:val="24"/>
      <w:lang w:eastAsia="ru-RU"/>
    </w:rPr>
  </w:style>
  <w:style w:type="paragraph" w:styleId="1597" w:customStyle="1">
    <w:name w:val="xl63"/>
    <w:basedOn w:val="1146"/>
    <w:pPr>
      <w:jc w:val="center"/>
      <w:spacing w:before="100" w:beforeAutospacing="1" w:after="100" w:afterAutospacing="1" w:line="240" w:lineRule="auto"/>
      <w:shd w:val="clear" w:color="auto" w:fill="ffffff"/>
      <w:pBdr>
        <w:left w:val="single" w:color="000000" w:sz="4" w:space="0"/>
        <w:bottom w:val="single" w:color="000000" w:sz="4" w:space="0"/>
        <w:right w:val="single" w:color="000000" w:sz="4" w:space="0"/>
      </w:pBdr>
    </w:pPr>
    <w:rPr>
      <w:rFonts w:ascii="Arial CYR" w:hAnsi="Arial CYR" w:eastAsia="Times New Roman" w:cs="Arial CYR"/>
      <w:color w:val="0000ff"/>
      <w:sz w:val="24"/>
      <w:szCs w:val="24"/>
      <w:lang w:eastAsia="ru-RU"/>
    </w:rPr>
  </w:style>
  <w:style w:type="paragraph" w:styleId="1598" w:customStyle="1">
    <w:name w:val="xl64"/>
    <w:basedOn w:val="1146"/>
    <w:pPr>
      <w:jc w:val="center"/>
      <w:spacing w:before="100" w:beforeAutospacing="1" w:after="100" w:afterAutospacing="1" w:line="240" w:lineRule="auto"/>
      <w:shd w:val="clear" w:color="auto" w:fill="ffffff"/>
      <w:pBdr>
        <w:top w:val="single" w:color="000000" w:sz="4" w:space="0"/>
        <w:left w:val="single" w:color="000000" w:sz="4" w:space="0"/>
        <w:right w:val="single" w:color="000000" w:sz="4" w:space="0"/>
      </w:pBdr>
    </w:pPr>
    <w:rPr>
      <w:rFonts w:ascii="Arial CYR" w:hAnsi="Arial CYR" w:eastAsia="Times New Roman" w:cs="Arial CYR"/>
      <w:color w:val="0000ff"/>
      <w:sz w:val="24"/>
      <w:szCs w:val="24"/>
      <w:lang w:eastAsia="ru-RU"/>
    </w:rPr>
  </w:style>
  <w:style w:type="paragraph" w:styleId="1599" w:customStyle="1">
    <w:name w:val="xl92"/>
    <w:basedOn w:val="1146"/>
    <w:pPr>
      <w:spacing w:before="100" w:beforeAutospacing="1" w:after="100" w:afterAutospacing="1" w:line="240" w:lineRule="auto"/>
      <w:shd w:val="clear" w:color="auto" w:fill="ffffff"/>
      <w:pBdr>
        <w:left w:val="single" w:color="000000" w:sz="4" w:space="0"/>
        <w:bottom w:val="single" w:color="000000" w:sz="4" w:space="0"/>
        <w:right w:val="single" w:color="000000" w:sz="4" w:space="0"/>
      </w:pBdr>
    </w:pPr>
    <w:rPr>
      <w:rFonts w:ascii="Arial CYR" w:hAnsi="Arial CYR" w:eastAsia="Times New Roman" w:cs="Arial CYR"/>
      <w:b/>
      <w:bCs/>
      <w:sz w:val="24"/>
      <w:szCs w:val="24"/>
      <w:lang w:eastAsia="ru-RU"/>
    </w:rPr>
  </w:style>
  <w:style w:type="paragraph" w:styleId="1600" w:customStyle="1">
    <w:name w:val="xl93"/>
    <w:basedOn w:val="1146"/>
    <w:pPr>
      <w:spacing w:before="100" w:beforeAutospacing="1" w:after="100" w:afterAutospacing="1" w:line="240" w:lineRule="auto"/>
      <w:shd w:val="clear" w:color="auto" w:fill="ffffff"/>
    </w:pPr>
    <w:rPr>
      <w:rFonts w:ascii="Arial CYR" w:hAnsi="Arial CYR" w:eastAsia="Times New Roman" w:cs="Arial CYR"/>
      <w:sz w:val="24"/>
      <w:szCs w:val="24"/>
      <w:lang w:eastAsia="ru-RU"/>
    </w:rPr>
  </w:style>
  <w:style w:type="paragraph" w:styleId="1601" w:customStyle="1">
    <w:name w:val="xl94"/>
    <w:basedOn w:val="1146"/>
    <w:pPr>
      <w:jc w:val="center"/>
      <w:spacing w:before="100" w:beforeAutospacing="1" w:after="100" w:afterAutospacing="1" w:line="240" w:lineRule="auto"/>
      <w:pBdr>
        <w:bottom w:val="single" w:color="000000" w:sz="8" w:space="0"/>
      </w:pBdr>
    </w:pPr>
    <w:rPr>
      <w:rFonts w:ascii="Arial CYR" w:hAnsi="Arial CYR" w:eastAsia="Times New Roman" w:cs="Arial CYR"/>
      <w:b/>
      <w:bCs/>
      <w:sz w:val="24"/>
      <w:szCs w:val="24"/>
      <w:lang w:eastAsia="ru-RU"/>
    </w:rPr>
  </w:style>
  <w:style w:type="paragraph" w:styleId="1602" w:customStyle="1">
    <w:name w:val="xl95"/>
    <w:basedOn w:val="1146"/>
    <w:pPr>
      <w:spacing w:before="100" w:beforeAutospacing="1" w:after="100" w:afterAutospacing="1" w:line="240" w:lineRule="auto"/>
      <w:shd w:val="clear" w:color="auto" w:fill="ffffff"/>
    </w:pPr>
    <w:rPr>
      <w:rFonts w:ascii="Arial CYR" w:hAnsi="Arial CYR" w:eastAsia="Times New Roman" w:cs="Arial CYR"/>
      <w:sz w:val="24"/>
      <w:szCs w:val="24"/>
      <w:lang w:eastAsia="ru-RU"/>
    </w:rPr>
  </w:style>
  <w:style w:type="paragraph" w:styleId="1603" w:customStyle="1">
    <w:name w:val="3 Знак"/>
    <w:basedOn w:val="1146"/>
    <w:pPr>
      <w:spacing w:after="160" w:line="240" w:lineRule="exact"/>
    </w:pPr>
    <w:rPr>
      <w:rFonts w:ascii="Verdana" w:hAnsi="Verdana" w:eastAsia="Times New Roman" w:cs="Verdana"/>
      <w:sz w:val="20"/>
      <w:szCs w:val="20"/>
      <w:lang w:val="en-US"/>
    </w:rPr>
  </w:style>
  <w:style w:type="paragraph" w:styleId="1604" w:customStyle="1">
    <w:name w:val="a"/>
    <w:basedOn w:val="1146"/>
    <w:pPr>
      <w:ind w:left="1701" w:hanging="567"/>
      <w:jc w:val="both"/>
      <w:spacing w:after="0" w:line="360" w:lineRule="auto"/>
    </w:pPr>
    <w:rPr>
      <w:rFonts w:ascii="Times New Roman" w:hAnsi="Times New Roman" w:eastAsia="Times New Roman" w:cs="Times New Roman"/>
      <w:sz w:val="28"/>
      <w:szCs w:val="28"/>
      <w:lang w:eastAsia="ru-RU"/>
    </w:rPr>
  </w:style>
  <w:style w:type="character" w:styleId="1605" w:customStyle="1">
    <w:name w:val="short_text"/>
    <w:basedOn w:val="1156"/>
  </w:style>
  <w:style w:type="paragraph" w:styleId="1606" w:customStyle="1">
    <w:name w:val="Noeeu14"/>
    <w:basedOn w:val="1146"/>
    <w:pPr>
      <w:ind w:firstLine="720"/>
      <w:jc w:val="both"/>
      <w:spacing w:after="0" w:line="264" w:lineRule="auto"/>
    </w:pPr>
    <w:rPr>
      <w:rFonts w:ascii="Times New Roman" w:hAnsi="Times New Roman" w:eastAsia="Times New Roman" w:cs="Times New Roman"/>
      <w:sz w:val="28"/>
      <w:szCs w:val="20"/>
      <w:lang w:eastAsia="ru-RU"/>
    </w:rPr>
  </w:style>
  <w:style w:type="paragraph" w:styleId="1607" w:customStyle="1">
    <w:name w:val="Знак1"/>
    <w:basedOn w:val="1146"/>
    <w:pPr>
      <w:spacing w:after="160" w:line="240" w:lineRule="exact"/>
    </w:pPr>
    <w:rPr>
      <w:rFonts w:ascii="Verdana" w:hAnsi="Verdana" w:eastAsia="Times New Roman" w:cs="Verdana"/>
      <w:sz w:val="20"/>
      <w:szCs w:val="20"/>
      <w:lang w:val="en-US"/>
    </w:rPr>
  </w:style>
  <w:style w:type="character" w:styleId="1608" w:customStyle="1">
    <w:name w:val="Знак Знак8"/>
    <w:rPr>
      <w:rFonts w:ascii="Times New Roman" w:hAnsi="Times New Roman" w:eastAsia="Times New Roman" w:cs="Times New Roman"/>
      <w:b/>
      <w:bCs/>
      <w:sz w:val="24"/>
      <w:szCs w:val="24"/>
      <w:lang w:eastAsia="ru-RU"/>
    </w:rPr>
  </w:style>
  <w:style w:type="character" w:styleId="1609" w:customStyle="1">
    <w:name w:val="Знак Знак7"/>
    <w:rPr>
      <w:rFonts w:ascii="Arial" w:hAnsi="Arial" w:eastAsia="Times New Roman" w:cs="Arial"/>
      <w:sz w:val="16"/>
      <w:szCs w:val="16"/>
      <w:lang w:eastAsia="ru-RU"/>
    </w:rPr>
  </w:style>
  <w:style w:type="character" w:styleId="1610" w:customStyle="1">
    <w:name w:val="Знак Знак5"/>
    <w:rPr>
      <w:rFonts w:ascii="Arial" w:hAnsi="Arial" w:eastAsia="Times New Roman" w:cs="Arial"/>
      <w:sz w:val="20"/>
      <w:szCs w:val="20"/>
      <w:lang w:eastAsia="ru-RU"/>
    </w:rPr>
  </w:style>
  <w:style w:type="character" w:styleId="1611" w:customStyle="1">
    <w:name w:val="Знак Знак4"/>
    <w:rPr>
      <w:rFonts w:ascii="Arial" w:hAnsi="Arial" w:eastAsia="Times New Roman" w:cs="Arial"/>
      <w:sz w:val="20"/>
      <w:szCs w:val="20"/>
      <w:lang w:eastAsia="ru-RU"/>
    </w:rPr>
  </w:style>
  <w:style w:type="character" w:styleId="1612" w:customStyle="1">
    <w:name w:val="Знак Знак3"/>
    <w:rPr>
      <w:rFonts w:ascii="Courier New" w:hAnsi="Courier New" w:eastAsia="Times New Roman" w:cs="Courier New"/>
      <w:sz w:val="20"/>
      <w:szCs w:val="20"/>
      <w:lang w:eastAsia="ru-RU"/>
    </w:rPr>
  </w:style>
  <w:style w:type="character" w:styleId="1613" w:customStyle="1">
    <w:name w:val="Знак Знак2"/>
    <w:rPr>
      <w:rFonts w:ascii="Consolas" w:hAnsi="Consolas" w:eastAsia="Times New Roman" w:cs="Times New Roman"/>
      <w:sz w:val="21"/>
      <w:szCs w:val="21"/>
    </w:rPr>
  </w:style>
  <w:style w:type="paragraph" w:styleId="1614" w:customStyle="1">
    <w:name w:val="Без интервала3"/>
    <w:uiPriority w:val="99"/>
    <w:qFormat/>
    <w:pPr>
      <w:spacing w:after="0" w:line="240" w:lineRule="auto"/>
    </w:pPr>
    <w:rPr>
      <w:rFonts w:ascii="Calibri" w:hAnsi="Calibri" w:eastAsia="Times New Roman" w:cs="Times New Roman"/>
    </w:rPr>
  </w:style>
  <w:style w:type="character" w:styleId="1615" w:customStyle="1">
    <w:name w:val="rvts12"/>
    <w:rPr>
      <w:rFonts w:hint="default" w:ascii="Verdana" w:hAnsi="Verdana"/>
      <w:sz w:val="18"/>
      <w:szCs w:val="18"/>
    </w:rPr>
  </w:style>
  <w:style w:type="character" w:styleId="1616" w:customStyle="1">
    <w:name w:val="Comment Text Char"/>
    <w:semiHidden/>
    <w:rPr>
      <w:rFonts w:eastAsia="Times New Roman"/>
      <w:sz w:val="20"/>
      <w:lang w:eastAsia="ru-RU"/>
    </w:rPr>
  </w:style>
  <w:style w:type="paragraph" w:styleId="1617" w:customStyle="1">
    <w:name w:val="Без интервала2"/>
    <w:pPr>
      <w:spacing w:after="0" w:line="240" w:lineRule="auto"/>
    </w:pPr>
    <w:rPr>
      <w:rFonts w:ascii="Calibri" w:hAnsi="Calibri" w:eastAsia="Calibri" w:cs="Times New Roman"/>
    </w:rPr>
  </w:style>
  <w:style w:type="paragraph" w:styleId="1618" w:customStyle="1">
    <w:name w:val="Абзац списка4"/>
    <w:basedOn w:val="1146"/>
    <w:pPr>
      <w:ind w:left="720"/>
      <w:spacing w:after="0" w:line="240" w:lineRule="auto"/>
    </w:pPr>
    <w:rPr>
      <w:rFonts w:ascii="Times New Roman" w:hAnsi="Times New Roman" w:eastAsia="Times New Roman" w:cs="Times New Roman"/>
      <w:sz w:val="24"/>
      <w:szCs w:val="24"/>
      <w:lang w:eastAsia="ru-RU"/>
    </w:rPr>
  </w:style>
  <w:style w:type="paragraph" w:styleId="1619" w:customStyle="1">
    <w:name w:val="Без интервала11"/>
    <w:pPr>
      <w:spacing w:after="0" w:line="240" w:lineRule="auto"/>
    </w:pPr>
    <w:rPr>
      <w:rFonts w:ascii="Calibri" w:hAnsi="Calibri" w:eastAsia="Calibri" w:cs="Times New Roman"/>
    </w:rPr>
  </w:style>
  <w:style w:type="paragraph" w:styleId="1620" w:customStyle="1">
    <w:name w:val="Text"/>
    <w:basedOn w:val="1146"/>
    <w:uiPriority w:val="99"/>
    <w:pPr>
      <w:spacing w:after="240" w:line="240" w:lineRule="auto"/>
    </w:pPr>
    <w:rPr>
      <w:rFonts w:ascii="Times New Roman" w:hAnsi="Times New Roman" w:eastAsia="Calibri" w:cs="Times New Roman"/>
      <w:sz w:val="24"/>
      <w:szCs w:val="20"/>
      <w:lang w:val="en-US"/>
    </w:rPr>
  </w:style>
  <w:style w:type="paragraph" w:styleId="1621" w:customStyle="1">
    <w:name w:val="text"/>
    <w:basedOn w:val="1146"/>
    <w:pPr>
      <w:spacing w:after="240" w:line="240" w:lineRule="auto"/>
    </w:pPr>
    <w:rPr>
      <w:rFonts w:ascii="Times New Roman" w:hAnsi="Times New Roman" w:eastAsia="Calibri" w:cs="Times New Roman"/>
      <w:sz w:val="24"/>
      <w:szCs w:val="24"/>
      <w:lang w:eastAsia="ru-RU"/>
    </w:rPr>
  </w:style>
  <w:style w:type="character" w:styleId="1622" w:customStyle="1">
    <w:name w:val="Основной текст таблиц Знак1"/>
    <w:rPr>
      <w:rFonts w:ascii="Arial" w:hAnsi="Arial" w:eastAsia="Calibri" w:cs="Times New Roman"/>
      <w:sz w:val="20"/>
      <w:szCs w:val="20"/>
      <w:lang w:eastAsia="ru-RU"/>
    </w:rPr>
  </w:style>
  <w:style w:type="character" w:styleId="1623" w:customStyle="1">
    <w:name w:val="Основной текст 2 Знак1"/>
    <w:uiPriority w:val="99"/>
    <w:semiHidden/>
    <w:rPr>
      <w:rFonts w:ascii="Arial" w:hAnsi="Arial"/>
    </w:rPr>
  </w:style>
  <w:style w:type="character" w:styleId="1624" w:customStyle="1">
    <w:name w:val="П.1 Char"/>
    <w:link w:val="1625"/>
    <w:rPr>
      <w:bCs/>
      <w:sz w:val="24"/>
      <w:szCs w:val="24"/>
      <w:lang w:eastAsia="ru-RU"/>
    </w:rPr>
  </w:style>
  <w:style w:type="paragraph" w:styleId="1625" w:customStyle="1">
    <w:name w:val="П.1"/>
    <w:basedOn w:val="1315"/>
    <w:link w:val="1624"/>
    <w:qFormat/>
    <w:pPr>
      <w:numPr>
        <w:ilvl w:val="1"/>
        <w:numId w:val="48"/>
      </w:numPr>
      <w:jc w:val="both"/>
      <w:widowControl/>
      <w:tabs>
        <w:tab w:val="left" w:pos="1701" w:leader="none"/>
      </w:tabs>
    </w:pPr>
    <w:rPr>
      <w:rFonts w:asciiTheme="minorHAnsi" w:hAnsiTheme="minorHAnsi" w:eastAsiaTheme="minorHAnsi" w:cstheme="minorBidi"/>
      <w:bCs/>
      <w:sz w:val="24"/>
      <w:szCs w:val="24"/>
    </w:rPr>
  </w:style>
  <w:style w:type="character" w:styleId="1626" w:customStyle="1">
    <w:name w:val="П.1.1 Char"/>
    <w:link w:val="1627"/>
    <w:rPr>
      <w:bCs/>
      <w:sz w:val="24"/>
      <w:szCs w:val="24"/>
      <w:lang w:eastAsia="ru-RU"/>
    </w:rPr>
  </w:style>
  <w:style w:type="paragraph" w:styleId="1627" w:customStyle="1">
    <w:name w:val="П.1.1"/>
    <w:basedOn w:val="1625"/>
    <w:link w:val="1626"/>
    <w:qFormat/>
    <w:pPr>
      <w:numPr>
        <w:ilvl w:val="2"/>
      </w:numPr>
      <w:tabs>
        <w:tab w:val="num" w:pos="360" w:leader="none"/>
        <w:tab w:val="num" w:pos="420" w:leader="none"/>
        <w:tab w:val="num" w:pos="720" w:leader="none"/>
        <w:tab w:val="clear" w:pos="2847" w:leader="none"/>
      </w:tabs>
    </w:pPr>
  </w:style>
  <w:style w:type="paragraph" w:styleId="1628" w:customStyle="1">
    <w:name w:val="П.1.1.1"/>
    <w:basedOn w:val="1625"/>
    <w:qFormat/>
    <w:pPr>
      <w:numPr>
        <w:ilvl w:val="3"/>
      </w:numPr>
      <w:ind w:left="2880" w:hanging="360"/>
      <w:tabs>
        <w:tab w:val="num" w:pos="360" w:leader="none"/>
        <w:tab w:val="num" w:pos="420" w:leader="none"/>
        <w:tab w:val="clear" w:pos="720" w:leader="none"/>
      </w:tabs>
    </w:pPr>
    <w:rPr>
      <w:rFonts w:ascii="Calibri" w:hAnsi="Calibri" w:eastAsia="Calibri"/>
      <w:bCs w:val="0"/>
    </w:rPr>
  </w:style>
  <w:style w:type="paragraph" w:styleId="1629" w:customStyle="1">
    <w:name w:val="П.1.1.1.1"/>
    <w:basedOn w:val="1625"/>
    <w:next w:val="1146"/>
    <w:qFormat/>
    <w:pPr>
      <w:numPr>
        <w:ilvl w:val="4"/>
      </w:numPr>
      <w:ind w:left="3600" w:hanging="360"/>
      <w:tabs>
        <w:tab w:val="num" w:pos="360" w:leader="none"/>
        <w:tab w:val="num" w:pos="420" w:leader="none"/>
        <w:tab w:val="clear" w:pos="1080" w:leader="none"/>
      </w:tabs>
    </w:pPr>
    <w:rPr>
      <w:rFonts w:ascii="Calibri" w:hAnsi="Calibri" w:eastAsia="Calibri"/>
      <w:bCs w:val="0"/>
    </w:rPr>
  </w:style>
  <w:style w:type="paragraph" w:styleId="1630" w:customStyle="1">
    <w:name w:val="П.1.1.1.1.1"/>
    <w:basedOn w:val="1625"/>
    <w:next w:val="1629"/>
    <w:qFormat/>
    <w:pPr>
      <w:numPr>
        <w:ilvl w:val="5"/>
      </w:numPr>
      <w:ind w:left="4320" w:hanging="360"/>
      <w:tabs>
        <w:tab w:val="num" w:pos="360" w:leader="none"/>
        <w:tab w:val="num" w:pos="420" w:leader="none"/>
        <w:tab w:val="clear" w:pos="1080" w:leader="none"/>
      </w:tabs>
    </w:pPr>
    <w:rPr>
      <w:rFonts w:ascii="Calibri" w:hAnsi="Calibri" w:eastAsia="Calibri"/>
      <w:bCs w:val="0"/>
    </w:rPr>
  </w:style>
  <w:style w:type="paragraph" w:styleId="1631" w:customStyle="1">
    <w:name w:val="П.глава"/>
    <w:basedOn w:val="1315"/>
    <w:next w:val="1625"/>
    <w:qFormat/>
    <w:pPr>
      <w:numPr>
        <w:ilvl w:val="0"/>
        <w:numId w:val="48"/>
      </w:numPr>
      <w:ind w:right="-6"/>
      <w:jc w:val="center"/>
      <w:keepNext/>
      <w:spacing w:before="240" w:after="240"/>
      <w:widowControl/>
      <w:tabs>
        <w:tab w:val="left" w:pos="1701" w:leader="none"/>
      </w:tabs>
    </w:pPr>
    <w:rPr>
      <w:rFonts w:ascii="Calibri" w:hAnsi="Calibri" w:eastAsia="Calibri" w:cs="Times New Roman"/>
      <w:b/>
      <w:bCs/>
      <w:sz w:val="24"/>
      <w:szCs w:val="24"/>
    </w:rPr>
  </w:style>
  <w:style w:type="paragraph" w:styleId="1632" w:customStyle="1">
    <w:name w:val="msonormal"/>
    <w:basedOn w:val="1146"/>
    <w:pPr>
      <w:jc w:val="both"/>
      <w:spacing w:before="100" w:beforeAutospacing="1" w:after="100" w:afterAutospacing="1" w:line="240" w:lineRule="auto"/>
    </w:pPr>
    <w:rPr>
      <w:rFonts w:ascii="Verdana" w:hAnsi="Verdana" w:eastAsia="Times New Roman" w:cs="Verdana"/>
      <w:sz w:val="14"/>
      <w:szCs w:val="14"/>
      <w:lang w:eastAsia="ru-RU"/>
    </w:rPr>
  </w:style>
  <w:style w:type="character" w:styleId="1633" w:customStyle="1">
    <w:name w:val="Без интервала Знак"/>
    <w:link w:val="1433"/>
    <w:uiPriority w:val="1"/>
    <w:rPr>
      <w:rFonts w:ascii="Calibri" w:hAnsi="Calibri" w:eastAsia="Calibri" w:cs="Times New Roman"/>
    </w:rPr>
  </w:style>
  <w:style w:type="paragraph" w:styleId="1634">
    <w:name w:val="endnote text"/>
    <w:basedOn w:val="1146"/>
    <w:link w:val="1635"/>
    <w:uiPriority w:val="99"/>
    <w:semiHidden/>
    <w:unhideWhenUsed/>
    <w:pPr>
      <w:spacing w:after="0" w:line="240" w:lineRule="auto"/>
    </w:pPr>
    <w:rPr>
      <w:sz w:val="20"/>
      <w:szCs w:val="20"/>
    </w:rPr>
  </w:style>
  <w:style w:type="character" w:styleId="1635" w:customStyle="1">
    <w:name w:val="Текст концевой сноски Знак"/>
    <w:basedOn w:val="1156"/>
    <w:link w:val="1634"/>
    <w:uiPriority w:val="99"/>
    <w:semiHidden/>
    <w:rPr>
      <w:sz w:val="20"/>
      <w:szCs w:val="20"/>
    </w:rPr>
  </w:style>
  <w:style w:type="character" w:styleId="1636">
    <w:name w:val="endnote reference"/>
    <w:basedOn w:val="1156"/>
    <w:uiPriority w:val="99"/>
    <w:semiHidden/>
    <w:unhideWhenUsed/>
    <w:rPr>
      <w:vertAlign w:val="superscript"/>
    </w:rPr>
  </w:style>
  <w:style w:type="table" w:styleId="1637" w:customStyle="1">
    <w:name w:val="StGen0"/>
    <w:pPr>
      <w:spacing w:after="0" w:line="240" w:lineRule="auto"/>
      <w:pBdr>
        <w:top w:val="none" w:color="000000" w:sz="4" w:space="0"/>
        <w:left w:val="none" w:color="000000" w:sz="4" w:space="0"/>
        <w:bottom w:val="none" w:color="000000" w:sz="4" w:space="0"/>
        <w:right w:val="none" w:color="000000" w:sz="4" w:space="0"/>
        <w:between w:val="none" w:color="000000" w:sz="4" w:space="0"/>
      </w:pBdr>
    </w:pPr>
    <w:rPr>
      <w:rFonts w:ascii="Times New Roman" w:hAnsi="Times New Roman" w:eastAsia="Times New Roman" w:cs="Times New Roman"/>
      <w:sz w:val="20"/>
      <w:szCs w:val="20"/>
      <w:lang w:val="ru" w:eastAsia="zh-CN"/>
    </w:rPr>
    <w:tblPr>
      <w:tblStyleRowBandSize w:val="1"/>
      <w:tblStyleColBandSize w:val="1"/>
      <w:tblInd w:w="0" w:type="dxa"/>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CellMar>
        <w:left w:w="115" w:type="dxa"/>
        <w:top w:w="0" w:type="dxa"/>
        <w:right w:w="115" w:type="dxa"/>
        <w:bottom w:w="0" w:type="dxa"/>
      </w:tblCellMar>
    </w:tblPr>
    <w:tcPr>
      <w:tcW w:w="0" w:type="auto"/>
    </w:tc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 Id="rId10" Type="http://schemas.openxmlformats.org/officeDocument/2006/relationships/header" Target="header2.xml" /><Relationship Id="rId11" Type="http://schemas.openxmlformats.org/officeDocument/2006/relationships/footer" Target="footer1.xml" /><Relationship Id="rId12" Type="http://schemas.openxmlformats.org/officeDocument/2006/relationships/footer" Target="footer2.xml" /><Relationship Id="rId13" Type="http://schemas.openxmlformats.org/officeDocument/2006/relationships/customXml" Target="../customXml/item1.xml" /><Relationship Id="rId14" Type="http://schemas.openxmlformats.org/officeDocument/2006/relationships/hyperlink" Target="mailto:EvtifevaDV@tv.rosseti-sib.ru" TargetMode="External"/><Relationship Id="rId15" Type="http://schemas.openxmlformats.org/officeDocument/2006/relationships/hyperlink" Target="mailto:EvtifevaDV@tv.rosseti-sib.ru" TargetMode="External"/><Relationship Id="rId16" Type="http://schemas.openxmlformats.org/officeDocument/2006/relationships/hyperlink" Target="mailto:cfd@rosseti.ru" TargetMode="External"/><Relationship Id="rId17" Type="http://schemas.openxmlformats.org/officeDocument/2006/relationships/hyperlink" Target="http://www.tuvaenergo.ru/buy/corruption.php" TargetMode="External"/><Relationship Id="rId18" Type="http://schemas.openxmlformats.org/officeDocument/2006/relationships/hyperlink" Target="mailto:tuvaenergo@tv.rosseti-sib.ru" TargetMode="External"/><Relationship Id="rId19" Type="http://schemas.openxmlformats.org/officeDocument/2006/relationships/hyperlink" Target="mailto:BaturinNV@tuva.mrsk-sib.ru" TargetMode="External"/><Relationship Id="rId20" Type="http://schemas.openxmlformats.org/officeDocument/2006/relationships/hyperlink" Target="mailto:KularAY@tv.rosseti-sib.ru" TargetMode="External"/><Relationship Id="rId21" Type="http://schemas.openxmlformats.org/officeDocument/2006/relationships/image" Target="media/image2.png"/><Relationship Id="rId22" Type="http://schemas.openxmlformats.org/officeDocument/2006/relationships/hyperlink" Target="http://www.cbr.ru/credit/" TargetMode="External"/></Relationships>
</file>

<file path=word/_rels/endnotes.xml.rels><?xml version="1.0" encoding="UTF-8" standalone="yes"?><Relationships xmlns="http://schemas.openxmlformats.org/package/2006/relationships"></Relationships>
</file>

<file path=word/_rels/footer1.xml.rels><?xml version="1.0" encoding="UTF-8" standalone="yes"?><Relationships xmlns="http://schemas.openxmlformats.org/package/2006/relationships"></Relationships>
</file>

<file path=word/_rels/footer2.xml.rels><?xml version="1.0" encoding="UTF-8" standalone="yes"?><Relationships xmlns="http://schemas.openxmlformats.org/package/2006/relationships"><Relationship Id="rId1" Type="http://schemas.openxmlformats.org/officeDocument/2006/relationships/image" Target="media/image1.png"/></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_rels/header2.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38AB95-AF9C-4C47-9358-9088163AEC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Application>Р7-Офис/7.4.0.351</Application>
  <Company>MOESK</Company>
  <DocSecurity>0</DocSecurity>
  <HyperlinksChanged>false</HyperlinksChanged>
  <LinksUpToDate>false</LinksUpToDate>
  <ScaleCrop>false</ScaleCrop>
  <SharedDoc>false</SharedDoc>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Козлов Илья Владимирович</dc:creator>
  <cp:revision>26</cp:revision>
  <dcterms:created xsi:type="dcterms:W3CDTF">2023-10-30T11:26:00Z</dcterms:created>
  <dcterms:modified xsi:type="dcterms:W3CDTF">2025-12-23T03:58:21Z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tomObjectId">
    <vt:lpwstr>0900005a8704f1a1</vt:lpwstr>
  </property>
  <property fmtid="{D5CDD505-2E9C-101B-9397-08002B2CF9AE}" pid="3" name="CustomServerURL">
    <vt:lpwstr>http://asud2.rosseti.ru/asud_hmrsk/doc-upload</vt:lpwstr>
  </property>
  <property fmtid="{D5CDD505-2E9C-101B-9397-08002B2CF9AE}" pid="4" name="CustomUserId">
    <vt:lpwstr>BalyukNN</vt:lpwstr>
  </property>
  <property fmtid="{D5CDD505-2E9C-101B-9397-08002B2CF9AE}" pid="5" name="CustomObjectState">
    <vt:lpwstr>180939569</vt:lpwstr>
  </property>
  <property fmtid="{D5CDD505-2E9C-101B-9397-08002B2CF9AE}" pid="6" name="localFileProperties">
    <vt:lpwstr/>
  </property>
</Properties>
</file>